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0DE3E">
      <w:pPr>
        <w:spacing w:line="560" w:lineRule="exact"/>
        <w:rPr>
          <w:rFonts w:ascii="方正公文小标宋" w:hAnsi="方正公文小标宋" w:eastAsia="方正公文小标宋"/>
          <w:sz w:val="44"/>
          <w:szCs w:val="44"/>
        </w:rPr>
      </w:pPr>
    </w:p>
    <w:p w14:paraId="7298D78C">
      <w:pPr>
        <w:spacing w:line="560" w:lineRule="exact"/>
        <w:rPr>
          <w:rFonts w:ascii="方正公文小标宋" w:hAnsi="方正公文小标宋" w:eastAsia="方正公文小标宋"/>
          <w:sz w:val="44"/>
          <w:szCs w:val="44"/>
        </w:rPr>
      </w:pPr>
    </w:p>
    <w:p w14:paraId="3B542CEB">
      <w:pPr>
        <w:spacing w:line="560" w:lineRule="exact"/>
        <w:jc w:val="center"/>
        <w:rPr>
          <w:rFonts w:hint="eastAsia" w:ascii="方正公文小标宋" w:hAnsi="方正公文小标宋" w:eastAsia="方正公文小标宋"/>
          <w:sz w:val="44"/>
          <w:szCs w:val="44"/>
          <w:lang w:val="en-US" w:eastAsia="zh-CN"/>
        </w:rPr>
      </w:pPr>
      <w:r>
        <w:rPr>
          <w:rFonts w:hint="eastAsia" w:ascii="方正公文小标宋" w:hAnsi="方正公文小标宋" w:eastAsia="方正公文小标宋"/>
          <w:sz w:val="44"/>
          <w:szCs w:val="44"/>
          <w:lang w:val="en-US" w:eastAsia="zh-CN"/>
        </w:rPr>
        <w:t>国家中医药管理局监测统计中心</w:t>
      </w:r>
    </w:p>
    <w:p w14:paraId="5ACD59C4">
      <w:pPr>
        <w:spacing w:line="560" w:lineRule="exact"/>
        <w:jc w:val="center"/>
        <w:rPr>
          <w:rFonts w:ascii="方正公文小标宋" w:hAnsi="方正公文小标宋" w:eastAsia="方正公文小标宋"/>
          <w:color w:val="FF0000"/>
          <w:sz w:val="44"/>
          <w:szCs w:val="44"/>
        </w:rPr>
      </w:pPr>
      <w:r>
        <w:rPr>
          <w:rFonts w:hint="eastAsia" w:ascii="方正公文小标宋" w:hAnsi="方正公文小标宋" w:eastAsia="方正公文小标宋"/>
          <w:sz w:val="44"/>
          <w:szCs w:val="44"/>
        </w:rPr>
        <w:t>202</w:t>
      </w:r>
      <w:r>
        <w:rPr>
          <w:rFonts w:hint="eastAsia" w:ascii="方正公文小标宋" w:hAnsi="方正公文小标宋" w:eastAsia="方正公文小标宋"/>
          <w:sz w:val="44"/>
          <w:szCs w:val="44"/>
          <w:lang w:val="en-US" w:eastAsia="zh-CN"/>
        </w:rPr>
        <w:t>6</w:t>
      </w:r>
      <w:r>
        <w:rPr>
          <w:rFonts w:hint="eastAsia" w:ascii="方正公文小标宋" w:hAnsi="方正公文小标宋" w:eastAsia="方正公文小标宋"/>
          <w:sz w:val="44"/>
          <w:szCs w:val="44"/>
        </w:rPr>
        <w:t>年</w:t>
      </w:r>
      <w:r>
        <w:rPr>
          <w:rFonts w:hint="eastAsia" w:ascii="方正公文小标宋" w:hAnsi="方正公文小标宋" w:eastAsia="方正公文小标宋"/>
          <w:sz w:val="44"/>
          <w:szCs w:val="44"/>
          <w:lang w:val="en-US" w:eastAsia="zh-CN"/>
        </w:rPr>
        <w:t>部门</w:t>
      </w:r>
      <w:r>
        <w:rPr>
          <w:rFonts w:hint="eastAsia" w:ascii="方正公文小标宋" w:hAnsi="方正公文小标宋" w:eastAsia="方正公文小标宋"/>
          <w:sz w:val="44"/>
          <w:szCs w:val="44"/>
        </w:rPr>
        <w:t>预算公开报</w:t>
      </w:r>
      <w:r>
        <w:rPr>
          <w:rFonts w:hint="eastAsia" w:ascii="方正公文小标宋" w:hAnsi="方正公文小标宋" w:eastAsia="方正公文小标宋"/>
          <w:color w:val="000000" w:themeColor="text1"/>
          <w:sz w:val="44"/>
          <w:szCs w:val="44"/>
          <w14:textFill>
            <w14:solidFill>
              <w14:schemeClr w14:val="tx1"/>
            </w14:solidFill>
          </w14:textFill>
        </w:rPr>
        <w:t>告</w:t>
      </w:r>
    </w:p>
    <w:p w14:paraId="2686C4B0">
      <w:pPr>
        <w:spacing w:line="560" w:lineRule="exact"/>
        <w:rPr>
          <w:rFonts w:ascii="方正公文小标宋" w:hAnsi="方正公文小标宋" w:eastAsia="方正公文小标宋"/>
          <w:sz w:val="44"/>
          <w:szCs w:val="44"/>
        </w:rPr>
      </w:pPr>
    </w:p>
    <w:p w14:paraId="3F284D9B">
      <w:pPr>
        <w:jc w:val="center"/>
        <w:rPr>
          <w:rFonts w:ascii="黑体" w:hAnsi="黑体" w:eastAsia="黑体"/>
          <w:bCs/>
          <w:sz w:val="32"/>
          <w:szCs w:val="32"/>
        </w:rPr>
      </w:pPr>
      <w:r>
        <w:rPr>
          <w:rFonts w:hint="eastAsia" w:ascii="黑体" w:hAnsi="黑体" w:eastAsia="黑体"/>
          <w:bCs/>
          <w:sz w:val="32"/>
          <w:szCs w:val="32"/>
        </w:rPr>
        <w:t>目  录</w:t>
      </w:r>
    </w:p>
    <w:p w14:paraId="5EFC6D65">
      <w:pPr>
        <w:jc w:val="left"/>
        <w:rPr>
          <w:rFonts w:ascii="黑体" w:hAnsi="黑体" w:eastAsia="黑体"/>
          <w:bCs/>
          <w:sz w:val="32"/>
          <w:szCs w:val="32"/>
        </w:rPr>
      </w:pPr>
      <w:r>
        <w:rPr>
          <w:rFonts w:hint="eastAsia" w:ascii="黑体" w:hAnsi="黑体" w:eastAsia="黑体"/>
          <w:bCs/>
          <w:sz w:val="32"/>
          <w:szCs w:val="32"/>
        </w:rPr>
        <w:t xml:space="preserve">第一部分 </w:t>
      </w:r>
      <w:r>
        <w:rPr>
          <w:rFonts w:hint="eastAsia" w:ascii="黑体" w:hAnsi="黑体" w:eastAsia="黑体"/>
          <w:bCs/>
          <w:sz w:val="32"/>
          <w:szCs w:val="32"/>
          <w:lang w:val="en-US" w:eastAsia="zh-CN"/>
        </w:rPr>
        <w:t>国家中医药管理局监测统计中心</w:t>
      </w:r>
      <w:r>
        <w:rPr>
          <w:rFonts w:hint="eastAsia" w:ascii="黑体" w:hAnsi="黑体" w:eastAsia="黑体"/>
          <w:bCs/>
          <w:sz w:val="32"/>
          <w:szCs w:val="32"/>
        </w:rPr>
        <w:t>概况</w:t>
      </w:r>
    </w:p>
    <w:p w14:paraId="35F41113">
      <w:pPr>
        <w:spacing w:line="600" w:lineRule="exact"/>
        <w:rPr>
          <w:rFonts w:hint="eastAsia" w:ascii="仿宋_GB2312" w:eastAsia="仿宋_GB2312"/>
          <w:sz w:val="32"/>
          <w:szCs w:val="32"/>
          <w:lang w:val="en-US" w:eastAsia="zh-CN"/>
        </w:rPr>
      </w:pPr>
      <w:r>
        <w:rPr>
          <w:rFonts w:hint="eastAsia" w:ascii="仿宋_GB2312" w:eastAsia="仿宋_GB2312"/>
          <w:sz w:val="32"/>
          <w:szCs w:val="32"/>
        </w:rPr>
        <w:t>一、主要职</w:t>
      </w:r>
      <w:r>
        <w:rPr>
          <w:rFonts w:hint="eastAsia" w:ascii="仿宋_GB2312" w:eastAsia="仿宋_GB2312"/>
          <w:sz w:val="32"/>
          <w:szCs w:val="32"/>
          <w:lang w:val="en-US" w:eastAsia="zh-CN"/>
        </w:rPr>
        <w:t>责</w:t>
      </w:r>
    </w:p>
    <w:p w14:paraId="0680260C">
      <w:pPr>
        <w:spacing w:line="600" w:lineRule="exact"/>
        <w:rPr>
          <w:rFonts w:ascii="仿宋_GB2312" w:eastAsia="仿宋_GB2312"/>
          <w:sz w:val="32"/>
          <w:szCs w:val="32"/>
        </w:rPr>
      </w:pPr>
      <w:r>
        <w:rPr>
          <w:rFonts w:hint="eastAsia" w:ascii="仿宋_GB2312" w:eastAsia="仿宋_GB2312"/>
          <w:sz w:val="32"/>
          <w:szCs w:val="32"/>
        </w:rPr>
        <w:t>二、单位内设机构</w:t>
      </w:r>
    </w:p>
    <w:p w14:paraId="4081C0DA">
      <w:pPr>
        <w:jc w:val="left"/>
        <w:rPr>
          <w:rFonts w:ascii="黑体" w:hAnsi="黑体" w:eastAsia="黑体"/>
          <w:bCs/>
          <w:sz w:val="32"/>
          <w:szCs w:val="32"/>
        </w:rPr>
      </w:pPr>
      <w:r>
        <w:rPr>
          <w:rFonts w:hint="eastAsia" w:ascii="黑体" w:hAnsi="黑体" w:eastAsia="黑体"/>
          <w:bCs/>
          <w:sz w:val="32"/>
          <w:szCs w:val="32"/>
        </w:rPr>
        <w:t>第二部分 202</w:t>
      </w:r>
      <w:r>
        <w:rPr>
          <w:rFonts w:hint="eastAsia" w:ascii="黑体" w:hAnsi="黑体" w:eastAsia="黑体"/>
          <w:bCs/>
          <w:sz w:val="32"/>
          <w:szCs w:val="32"/>
          <w:lang w:val="en-US" w:eastAsia="zh-CN"/>
        </w:rPr>
        <w:t>6</w:t>
      </w:r>
      <w:r>
        <w:rPr>
          <w:rFonts w:hint="eastAsia" w:ascii="黑体" w:hAnsi="黑体" w:eastAsia="黑体"/>
          <w:bCs/>
          <w:sz w:val="32"/>
          <w:szCs w:val="32"/>
        </w:rPr>
        <w:t>年单位预算表</w:t>
      </w:r>
    </w:p>
    <w:p w14:paraId="611992F8">
      <w:pPr>
        <w:spacing w:line="600" w:lineRule="exact"/>
        <w:rPr>
          <w:rFonts w:ascii="仿宋_GB2312" w:eastAsia="仿宋_GB2312"/>
          <w:sz w:val="32"/>
          <w:szCs w:val="32"/>
        </w:rPr>
      </w:pPr>
      <w:r>
        <w:rPr>
          <w:rFonts w:hint="eastAsia" w:ascii="仿宋_GB2312" w:eastAsia="仿宋_GB2312"/>
          <w:sz w:val="32"/>
          <w:szCs w:val="32"/>
        </w:rPr>
        <w:t>一、</w:t>
      </w:r>
      <w:r>
        <w:rPr>
          <w:rFonts w:hint="eastAsia" w:ascii="仿宋_GB2312" w:eastAsia="仿宋_GB2312"/>
          <w:sz w:val="32"/>
          <w:szCs w:val="32"/>
          <w:lang w:val="en-US" w:eastAsia="zh-CN"/>
        </w:rPr>
        <w:t>部门</w:t>
      </w:r>
      <w:r>
        <w:rPr>
          <w:rFonts w:hint="eastAsia" w:ascii="仿宋_GB2312" w:eastAsia="仿宋_GB2312"/>
          <w:sz w:val="32"/>
          <w:szCs w:val="32"/>
        </w:rPr>
        <w:t>收支总表</w:t>
      </w:r>
    </w:p>
    <w:p w14:paraId="20FA7A10">
      <w:pPr>
        <w:spacing w:line="600" w:lineRule="exact"/>
        <w:rPr>
          <w:rFonts w:ascii="仿宋_GB2312"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eastAsia="仿宋_GB2312"/>
          <w:sz w:val="32"/>
          <w:szCs w:val="32"/>
        </w:rPr>
        <w:t>收入总表</w:t>
      </w:r>
    </w:p>
    <w:p w14:paraId="20AE72A3">
      <w:pPr>
        <w:spacing w:line="600" w:lineRule="exact"/>
        <w:rPr>
          <w:rFonts w:ascii="仿宋_GB2312" w:eastAsia="仿宋_GB2312"/>
          <w:sz w:val="32"/>
          <w:szCs w:val="32"/>
        </w:rPr>
      </w:pPr>
      <w:r>
        <w:rPr>
          <w:rFonts w:hint="eastAsia" w:ascii="仿宋_GB2312" w:eastAsia="仿宋_GB2312"/>
          <w:sz w:val="32"/>
          <w:szCs w:val="32"/>
        </w:rPr>
        <w:t>三、</w:t>
      </w:r>
      <w:r>
        <w:rPr>
          <w:rFonts w:hint="eastAsia" w:ascii="仿宋_GB2312" w:eastAsia="仿宋_GB2312"/>
          <w:sz w:val="32"/>
          <w:szCs w:val="32"/>
          <w:lang w:val="en-US" w:eastAsia="zh-CN"/>
        </w:rPr>
        <w:t>部门</w:t>
      </w:r>
      <w:r>
        <w:rPr>
          <w:rFonts w:hint="eastAsia" w:ascii="仿宋_GB2312" w:eastAsia="仿宋_GB2312"/>
          <w:sz w:val="32"/>
          <w:szCs w:val="32"/>
        </w:rPr>
        <w:t>支出总表</w:t>
      </w:r>
    </w:p>
    <w:p w14:paraId="11647DF4">
      <w:pPr>
        <w:spacing w:line="600" w:lineRule="exact"/>
        <w:rPr>
          <w:rFonts w:ascii="仿宋_GB2312" w:eastAsia="仿宋_GB2312"/>
          <w:sz w:val="32"/>
          <w:szCs w:val="32"/>
        </w:rPr>
      </w:pPr>
      <w:r>
        <w:rPr>
          <w:rFonts w:hint="eastAsia" w:ascii="仿宋_GB2312" w:eastAsia="仿宋_GB2312"/>
          <w:sz w:val="32"/>
          <w:szCs w:val="32"/>
        </w:rPr>
        <w:t>四、财政拨款收支总表</w:t>
      </w:r>
    </w:p>
    <w:p w14:paraId="31B8C35A">
      <w:pPr>
        <w:spacing w:line="600" w:lineRule="exact"/>
        <w:rPr>
          <w:rFonts w:ascii="仿宋_GB2312" w:eastAsia="仿宋_GB2312"/>
          <w:sz w:val="32"/>
          <w:szCs w:val="32"/>
        </w:rPr>
      </w:pPr>
      <w:r>
        <w:rPr>
          <w:rFonts w:hint="eastAsia" w:ascii="仿宋_GB2312" w:eastAsia="仿宋_GB2312"/>
          <w:sz w:val="32"/>
          <w:szCs w:val="32"/>
        </w:rPr>
        <w:t>五、一般公共预算支出表</w:t>
      </w:r>
    </w:p>
    <w:p w14:paraId="7B597A81">
      <w:pPr>
        <w:spacing w:line="600" w:lineRule="exact"/>
        <w:rPr>
          <w:rFonts w:ascii="仿宋_GB2312" w:eastAsia="仿宋_GB2312"/>
          <w:sz w:val="32"/>
          <w:szCs w:val="32"/>
        </w:rPr>
      </w:pPr>
      <w:r>
        <w:rPr>
          <w:rFonts w:hint="eastAsia" w:ascii="仿宋_GB2312" w:eastAsia="仿宋_GB2312"/>
          <w:sz w:val="32"/>
          <w:szCs w:val="32"/>
        </w:rPr>
        <w:t>六、政府性基金预算支出表</w:t>
      </w:r>
    </w:p>
    <w:p w14:paraId="63CBC2FE">
      <w:pPr>
        <w:spacing w:line="600" w:lineRule="exact"/>
        <w:rPr>
          <w:rFonts w:ascii="仿宋_GB2312" w:eastAsia="仿宋_GB2312"/>
          <w:sz w:val="32"/>
          <w:szCs w:val="32"/>
        </w:rPr>
      </w:pPr>
      <w:r>
        <w:rPr>
          <w:rFonts w:hint="eastAsia" w:ascii="仿宋_GB2312" w:eastAsia="仿宋_GB2312"/>
          <w:sz w:val="32"/>
          <w:szCs w:val="32"/>
        </w:rPr>
        <w:t>七、国有资本经营预算支出表</w:t>
      </w:r>
    </w:p>
    <w:p w14:paraId="3194BEA8">
      <w:pPr>
        <w:spacing w:line="600" w:lineRule="exact"/>
        <w:rPr>
          <w:rFonts w:ascii="仿宋_GB2312" w:eastAsia="仿宋_GB2312"/>
          <w:sz w:val="32"/>
          <w:szCs w:val="32"/>
        </w:rPr>
      </w:pPr>
      <w:r>
        <w:rPr>
          <w:rFonts w:hint="eastAsia" w:ascii="仿宋_GB2312" w:eastAsia="仿宋_GB2312"/>
          <w:sz w:val="32"/>
          <w:szCs w:val="32"/>
        </w:rPr>
        <w:t>八、一般公共预算基本支出表</w:t>
      </w:r>
    </w:p>
    <w:p w14:paraId="7E1A46F7">
      <w:pPr>
        <w:spacing w:line="600" w:lineRule="exact"/>
        <w:rPr>
          <w:rFonts w:hint="eastAsia" w:ascii="仿宋_GB2312" w:eastAsia="仿宋_GB2312"/>
          <w:sz w:val="32"/>
          <w:szCs w:val="32"/>
        </w:rPr>
      </w:pPr>
      <w:r>
        <w:rPr>
          <w:rFonts w:hint="eastAsia" w:ascii="仿宋_GB2312" w:eastAsia="仿宋_GB2312"/>
          <w:sz w:val="32"/>
          <w:szCs w:val="32"/>
        </w:rPr>
        <w:t>九、财政拨款预算“三公”经费支出表</w:t>
      </w:r>
    </w:p>
    <w:p w14:paraId="6BF6F154">
      <w:pPr>
        <w:spacing w:line="600" w:lineRule="exact"/>
        <w:rPr>
          <w:rFonts w:hint="eastAsia" w:ascii="仿宋_GB2312" w:eastAsia="仿宋_GB2312"/>
          <w:sz w:val="32"/>
          <w:szCs w:val="32"/>
          <w:lang w:val="en-US" w:eastAsia="zh-CN"/>
        </w:rPr>
      </w:pPr>
      <w:r>
        <w:rPr>
          <w:rFonts w:hint="eastAsia" w:ascii="仿宋_GB2312" w:eastAsia="仿宋_GB2312"/>
          <w:sz w:val="32"/>
          <w:szCs w:val="32"/>
          <w:lang w:val="en-US" w:eastAsia="zh-CN"/>
        </w:rPr>
        <w:t>十、租用办公用房项目绩效目标表</w:t>
      </w:r>
    </w:p>
    <w:p w14:paraId="4556450D">
      <w:pPr>
        <w:spacing w:line="600" w:lineRule="exact"/>
        <w:rPr>
          <w:rFonts w:hint="eastAsia" w:ascii="仿宋_GB2312" w:eastAsia="仿宋_GB2312"/>
          <w:sz w:val="32"/>
          <w:szCs w:val="32"/>
          <w:lang w:val="en-US" w:eastAsia="zh-CN"/>
        </w:rPr>
      </w:pPr>
      <w:r>
        <w:rPr>
          <w:rFonts w:hint="eastAsia" w:ascii="仿宋_GB2312" w:eastAsia="仿宋_GB2312"/>
          <w:sz w:val="32"/>
          <w:szCs w:val="32"/>
          <w:lang w:val="en-US" w:eastAsia="zh-CN"/>
        </w:rPr>
        <w:t>十一、公立中医类医院医疗服务质量和运行效率评价体系构建项目绩效目标表</w:t>
      </w:r>
    </w:p>
    <w:p w14:paraId="4A2E2957">
      <w:pPr>
        <w:jc w:val="left"/>
        <w:rPr>
          <w:rFonts w:ascii="黑体" w:hAnsi="黑体" w:eastAsia="黑体"/>
          <w:bCs/>
          <w:sz w:val="32"/>
          <w:szCs w:val="32"/>
        </w:rPr>
      </w:pPr>
      <w:r>
        <w:rPr>
          <w:rFonts w:hint="eastAsia" w:ascii="黑体" w:hAnsi="黑体" w:eastAsia="黑体"/>
          <w:bCs/>
          <w:sz w:val="32"/>
          <w:szCs w:val="32"/>
        </w:rPr>
        <w:t>第三部分 202</w:t>
      </w:r>
      <w:r>
        <w:rPr>
          <w:rFonts w:hint="eastAsia" w:ascii="黑体" w:hAnsi="黑体" w:eastAsia="黑体"/>
          <w:bCs/>
          <w:sz w:val="32"/>
          <w:szCs w:val="32"/>
          <w:lang w:val="en-US" w:eastAsia="zh-CN"/>
        </w:rPr>
        <w:t>6</w:t>
      </w:r>
      <w:r>
        <w:rPr>
          <w:rFonts w:hint="eastAsia" w:ascii="黑体" w:hAnsi="黑体" w:eastAsia="黑体"/>
          <w:bCs/>
          <w:sz w:val="32"/>
          <w:szCs w:val="32"/>
        </w:rPr>
        <w:t>年单位预算情况说明</w:t>
      </w:r>
    </w:p>
    <w:p w14:paraId="5F2ED903">
      <w:pPr>
        <w:jc w:val="left"/>
        <w:rPr>
          <w:rFonts w:ascii="黑体" w:hAnsi="黑体" w:eastAsia="黑体"/>
          <w:bCs/>
          <w:sz w:val="32"/>
          <w:szCs w:val="32"/>
        </w:rPr>
      </w:pPr>
      <w:r>
        <w:rPr>
          <w:rFonts w:hint="eastAsia" w:ascii="黑体" w:hAnsi="黑体" w:eastAsia="黑体"/>
          <w:bCs/>
          <w:sz w:val="32"/>
          <w:szCs w:val="32"/>
        </w:rPr>
        <w:t>第四部分 名词解释</w:t>
      </w:r>
    </w:p>
    <w:p w14:paraId="52C23223">
      <w:pPr>
        <w:rPr>
          <w:bCs/>
        </w:rPr>
      </w:pPr>
    </w:p>
    <w:p w14:paraId="45DA6B0B">
      <w:pPr>
        <w:spacing w:line="600" w:lineRule="exact"/>
        <w:jc w:val="center"/>
        <w:rPr>
          <w:rFonts w:ascii="黑体" w:hAnsi="黑体" w:eastAsia="黑体"/>
          <w:bCs/>
          <w:sz w:val="32"/>
          <w:szCs w:val="32"/>
        </w:rPr>
      </w:pPr>
      <w:r>
        <w:rPr>
          <w:rFonts w:hint="eastAsia" w:ascii="黑体" w:hAnsi="黑体" w:eastAsia="黑体"/>
          <w:bCs/>
          <w:sz w:val="32"/>
          <w:szCs w:val="32"/>
        </w:rPr>
        <w:t>第一部分 国家中医药</w:t>
      </w:r>
      <w:r>
        <w:rPr>
          <w:rFonts w:hint="eastAsia" w:ascii="黑体" w:hAnsi="黑体" w:eastAsia="黑体"/>
          <w:bCs/>
          <w:sz w:val="32"/>
          <w:szCs w:val="32"/>
          <w:lang w:val="en-US" w:eastAsia="zh-CN"/>
        </w:rPr>
        <w:t>管理局监测统计中心</w:t>
      </w:r>
      <w:r>
        <w:rPr>
          <w:rFonts w:hint="eastAsia" w:ascii="黑体" w:hAnsi="黑体" w:eastAsia="黑体"/>
          <w:bCs/>
          <w:sz w:val="32"/>
          <w:szCs w:val="32"/>
        </w:rPr>
        <w:t>概况</w:t>
      </w:r>
    </w:p>
    <w:p w14:paraId="1871686D">
      <w:pPr>
        <w:spacing w:line="600" w:lineRule="exact"/>
        <w:rPr>
          <w:rFonts w:ascii="仿宋_GB2312" w:eastAsia="仿宋_GB2312"/>
          <w:sz w:val="32"/>
          <w:szCs w:val="32"/>
        </w:rPr>
      </w:pPr>
    </w:p>
    <w:p w14:paraId="4D0EEC1A">
      <w:pPr>
        <w:spacing w:line="600" w:lineRule="exact"/>
        <w:ind w:firstLine="640" w:firstLineChars="200"/>
        <w:rPr>
          <w:rFonts w:ascii="黑体" w:hAnsi="黑体" w:eastAsia="黑体"/>
          <w:sz w:val="32"/>
          <w:szCs w:val="32"/>
        </w:rPr>
      </w:pPr>
      <w:r>
        <w:rPr>
          <w:rFonts w:hint="eastAsia" w:ascii="黑体" w:hAnsi="黑体" w:eastAsia="黑体"/>
          <w:bCs/>
          <w:sz w:val="32"/>
          <w:szCs w:val="32"/>
        </w:rPr>
        <w:t>一、主要职责</w:t>
      </w:r>
    </w:p>
    <w:p w14:paraId="79357378">
      <w:pPr>
        <w:spacing w:line="600" w:lineRule="exact"/>
        <w:rPr>
          <w:rFonts w:ascii="仿宋_GB2312" w:eastAsia="仿宋_GB2312"/>
          <w:sz w:val="32"/>
          <w:szCs w:val="32"/>
        </w:rPr>
      </w:pPr>
      <w:r>
        <w:rPr>
          <w:rFonts w:hint="eastAsia" w:ascii="仿宋_GB2312" w:eastAsia="仿宋_GB2312"/>
          <w:sz w:val="32"/>
          <w:szCs w:val="32"/>
        </w:rPr>
        <w:t>　　根据《中央编办关于设立中国中医药科技发展中心等事项的批复》(中编办复字〔2020〕38号)，国家中医药</w:t>
      </w:r>
      <w:r>
        <w:rPr>
          <w:rFonts w:hint="eastAsia" w:ascii="仿宋_GB2312" w:eastAsia="仿宋_GB2312"/>
          <w:sz w:val="32"/>
          <w:szCs w:val="32"/>
          <w:lang w:val="en-US" w:eastAsia="zh-CN"/>
        </w:rPr>
        <w:t>管理局监测统计中心隶属</w:t>
      </w:r>
      <w:r>
        <w:rPr>
          <w:rFonts w:hint="eastAsia" w:ascii="仿宋_GB2312" w:eastAsia="仿宋_GB2312"/>
          <w:sz w:val="32"/>
          <w:szCs w:val="32"/>
        </w:rPr>
        <w:t>国家中医药管理局。根据《中共国家中医药管理局党组关于印发《国家中医药</w:t>
      </w:r>
      <w:r>
        <w:rPr>
          <w:rFonts w:hint="eastAsia" w:ascii="仿宋_GB2312" w:eastAsia="仿宋_GB2312"/>
          <w:sz w:val="32"/>
          <w:szCs w:val="32"/>
          <w:lang w:val="en-US" w:eastAsia="zh-CN"/>
        </w:rPr>
        <w:t>管理局监测统计中心职能</w:t>
      </w:r>
      <w:r>
        <w:rPr>
          <w:rFonts w:hint="eastAsia" w:ascii="仿宋_GB2312" w:eastAsia="仿宋_GB2312"/>
          <w:sz w:val="32"/>
          <w:szCs w:val="32"/>
        </w:rPr>
        <w:t>配置、内设机构和人员编制规定的通知》(国中医药党〔2021〕1</w:t>
      </w:r>
      <w:r>
        <w:rPr>
          <w:rFonts w:hint="eastAsia" w:ascii="仿宋_GB2312" w:eastAsia="仿宋_GB2312"/>
          <w:sz w:val="32"/>
          <w:szCs w:val="32"/>
          <w:lang w:val="en-US" w:eastAsia="zh-CN"/>
        </w:rPr>
        <w:t>9</w:t>
      </w:r>
      <w:r>
        <w:rPr>
          <w:rFonts w:hint="eastAsia" w:ascii="仿宋_GB2312" w:eastAsia="仿宋_GB2312"/>
          <w:sz w:val="32"/>
          <w:szCs w:val="32"/>
        </w:rPr>
        <w:t>号)，我</w:t>
      </w:r>
      <w:r>
        <w:rPr>
          <w:rFonts w:hint="eastAsia" w:ascii="仿宋_GB2312" w:eastAsia="仿宋_GB2312"/>
          <w:sz w:val="32"/>
          <w:szCs w:val="32"/>
          <w:lang w:val="en-US" w:eastAsia="zh-CN"/>
        </w:rPr>
        <w:t>中心</w:t>
      </w:r>
      <w:r>
        <w:rPr>
          <w:rFonts w:hint="eastAsia" w:ascii="仿宋_GB2312" w:eastAsia="仿宋_GB2312"/>
          <w:sz w:val="32"/>
          <w:szCs w:val="32"/>
        </w:rPr>
        <w:t>职责如下：</w:t>
      </w:r>
    </w:p>
    <w:p w14:paraId="4F3876DD">
      <w:pPr>
        <w:numPr>
          <w:ilvl w:val="0"/>
          <w:numId w:val="1"/>
        </w:numPr>
        <w:spacing w:line="48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围绕中医药传承创新发展的全局性、战略性、长期性以及热点、难点等问题开展研究，为国家中医药管理局提供政策建议和咨询意见，建设高端智库。</w:t>
      </w:r>
    </w:p>
    <w:p w14:paraId="5F601895">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开展对中医药发展规划和重大政策的前期研究及实施监测效果评估。</w:t>
      </w:r>
    </w:p>
    <w:p w14:paraId="6212C3AB">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承担拟订和</w:t>
      </w:r>
      <w:r>
        <w:rPr>
          <w:rFonts w:ascii="仿宋_GB2312" w:hAnsi="仿宋_GB2312" w:eastAsia="仿宋_GB2312" w:cs="仿宋_GB2312"/>
          <w:bCs/>
          <w:sz w:val="32"/>
          <w:szCs w:val="32"/>
        </w:rPr>
        <w:t>实施</w:t>
      </w:r>
      <w:r>
        <w:rPr>
          <w:rFonts w:hint="eastAsia" w:ascii="仿宋_GB2312" w:hAnsi="仿宋_GB2312" w:eastAsia="仿宋_GB2312" w:cs="仿宋_GB2312"/>
          <w:bCs/>
          <w:sz w:val="32"/>
          <w:szCs w:val="32"/>
        </w:rPr>
        <w:t>国家中医药综合统计制度，承担中医药部门统计项目</w:t>
      </w:r>
      <w:r>
        <w:rPr>
          <w:rFonts w:ascii="仿宋_GB2312" w:hAnsi="仿宋_GB2312" w:eastAsia="仿宋_GB2312" w:cs="仿宋_GB2312"/>
          <w:bCs/>
          <w:sz w:val="32"/>
          <w:szCs w:val="32"/>
        </w:rPr>
        <w:t>归口管理，开展中医药统计</w:t>
      </w:r>
      <w:r>
        <w:rPr>
          <w:rFonts w:hint="eastAsia" w:ascii="仿宋_GB2312" w:hAnsi="仿宋_GB2312" w:eastAsia="仿宋_GB2312" w:cs="仿宋_GB2312"/>
          <w:bCs/>
          <w:sz w:val="32"/>
          <w:szCs w:val="32"/>
        </w:rPr>
        <w:t>与调查工作。</w:t>
      </w:r>
    </w:p>
    <w:p w14:paraId="48B088C0">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开展中医药统计理论与方法研究，承担中医药行业相关数据的监测统计分析，起草中医药事业发展统计公报。</w:t>
      </w:r>
    </w:p>
    <w:p w14:paraId="36216AEC">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承担中医医疗服务质量和医疗机构运行情况监测评估，并提供技术指导和咨询服务。</w:t>
      </w:r>
    </w:p>
    <w:p w14:paraId="66E94F48">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协助国家中医药管理局</w:t>
      </w:r>
      <w:r>
        <w:rPr>
          <w:rFonts w:ascii="仿宋_GB2312" w:hAnsi="仿宋_GB2312" w:eastAsia="仿宋_GB2312" w:cs="仿宋_GB2312"/>
          <w:bCs/>
          <w:sz w:val="32"/>
          <w:szCs w:val="32"/>
        </w:rPr>
        <w:t>开展中医药</w:t>
      </w:r>
      <w:r>
        <w:rPr>
          <w:rFonts w:hint="eastAsia" w:ascii="仿宋_GB2312" w:hAnsi="仿宋_GB2312" w:eastAsia="仿宋_GB2312" w:cs="仿宋_GB2312"/>
          <w:bCs/>
          <w:sz w:val="32"/>
          <w:szCs w:val="32"/>
        </w:rPr>
        <w:t>重大项目设计论证和需求评估，承担中医药项目执行情况监测和绩效评价工作。</w:t>
      </w:r>
    </w:p>
    <w:p w14:paraId="2BDA88DB">
      <w:pPr>
        <w:numPr>
          <w:ilvl w:val="0"/>
          <w:numId w:val="1"/>
        </w:num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协助国家中医药管理局开展中医药行业信息化建设与技术支持工作。</w:t>
      </w:r>
    </w:p>
    <w:p w14:paraId="6F6D15D0">
      <w:pPr>
        <w:numPr>
          <w:ilvl w:val="0"/>
          <w:numId w:val="1"/>
        </w:numPr>
        <w:spacing w:line="48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开展中医药发展规划、政策研究、数据统计、信息化建设、医疗质量和机构运行情况监测评估等方面的国内外学术交流研讨活动。</w:t>
      </w:r>
    </w:p>
    <w:p w14:paraId="721ED549">
      <w:pPr>
        <w:numPr>
          <w:ilvl w:val="0"/>
          <w:numId w:val="1"/>
        </w:numPr>
        <w:spacing w:line="480" w:lineRule="auto"/>
        <w:ind w:firstLine="640" w:firstLineChars="200"/>
        <w:rPr>
          <w:rFonts w:hint="eastAsia" w:ascii="仿宋_GB2312" w:hAnsi="仿宋_GB2312" w:eastAsia="仿宋_GB2312" w:cs="仿宋_GB2312"/>
          <w:bCs/>
          <w:sz w:val="32"/>
          <w:szCs w:val="32"/>
        </w:rPr>
      </w:pPr>
      <w:bookmarkStart w:id="0" w:name="_GoBack"/>
      <w:bookmarkEnd w:id="0"/>
      <w:r>
        <w:rPr>
          <w:rFonts w:hint="eastAsia" w:ascii="仿宋_GB2312" w:hAnsi="仿宋_GB2312" w:eastAsia="仿宋_GB2312" w:cs="仿宋_GB2312"/>
          <w:bCs/>
          <w:sz w:val="32"/>
          <w:szCs w:val="32"/>
        </w:rPr>
        <w:t>承办国家中医药管理局交办的其他事项。</w:t>
      </w:r>
    </w:p>
    <w:p w14:paraId="5B762F52">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二、单位内设机构</w:t>
      </w:r>
    </w:p>
    <w:p w14:paraId="6CA5BA1C">
      <w:pPr>
        <w:spacing w:line="600" w:lineRule="exact"/>
        <w:ind w:firstLine="640" w:firstLineChars="200"/>
        <w:rPr>
          <w:rFonts w:ascii="仿宋_GB2312" w:eastAsia="仿宋_GB2312"/>
          <w:sz w:val="32"/>
          <w:szCs w:val="32"/>
        </w:rPr>
      </w:pPr>
      <w:r>
        <w:rPr>
          <w:rFonts w:hint="eastAsia" w:ascii="仿宋_GB2312" w:eastAsia="仿宋_GB2312"/>
          <w:sz w:val="32"/>
          <w:szCs w:val="32"/>
        </w:rPr>
        <w:t>（一）国家中医药</w:t>
      </w:r>
      <w:r>
        <w:rPr>
          <w:rFonts w:hint="eastAsia" w:ascii="仿宋_GB2312" w:eastAsia="仿宋_GB2312"/>
          <w:sz w:val="32"/>
          <w:szCs w:val="32"/>
          <w:lang w:val="en-US" w:eastAsia="zh-CN"/>
        </w:rPr>
        <w:t>管理局监测统计中心</w:t>
      </w:r>
      <w:r>
        <w:rPr>
          <w:rFonts w:hint="eastAsia" w:ascii="仿宋_GB2312" w:eastAsia="仿宋_GB2312"/>
          <w:sz w:val="32"/>
          <w:szCs w:val="32"/>
        </w:rPr>
        <w:t>设1</w:t>
      </w:r>
      <w:r>
        <w:rPr>
          <w:rFonts w:hint="eastAsia" w:ascii="仿宋_GB2312" w:eastAsia="仿宋_GB2312"/>
          <w:sz w:val="32"/>
          <w:szCs w:val="32"/>
          <w:lang w:val="en-US" w:eastAsia="zh-CN"/>
        </w:rPr>
        <w:t>1</w:t>
      </w:r>
      <w:r>
        <w:rPr>
          <w:rFonts w:hint="eastAsia" w:ascii="仿宋_GB2312" w:eastAsia="仿宋_GB2312"/>
          <w:sz w:val="32"/>
          <w:szCs w:val="32"/>
        </w:rPr>
        <w:t>个内设机构（正处级），分别是：党政办公室、人事处、财务审计处、</w:t>
      </w:r>
      <w:r>
        <w:rPr>
          <w:rFonts w:hint="eastAsia" w:ascii="仿宋_GB2312" w:eastAsia="仿宋_GB2312"/>
          <w:sz w:val="32"/>
          <w:szCs w:val="32"/>
          <w:lang w:val="en-US" w:eastAsia="zh-CN"/>
        </w:rPr>
        <w:t>战略规划</w:t>
      </w:r>
      <w:r>
        <w:rPr>
          <w:rFonts w:hint="eastAsia" w:ascii="仿宋_GB2312" w:eastAsia="仿宋_GB2312"/>
          <w:sz w:val="32"/>
          <w:szCs w:val="32"/>
        </w:rPr>
        <w:t>处、</w:t>
      </w:r>
      <w:r>
        <w:rPr>
          <w:rFonts w:hint="eastAsia" w:ascii="仿宋_GB2312" w:eastAsia="仿宋_GB2312"/>
          <w:sz w:val="32"/>
          <w:szCs w:val="32"/>
          <w:lang w:val="en-US" w:eastAsia="zh-CN"/>
        </w:rPr>
        <w:t>政策研究处</w:t>
      </w:r>
      <w:r>
        <w:rPr>
          <w:rFonts w:hint="eastAsia" w:ascii="仿宋_GB2312" w:eastAsia="仿宋_GB2312"/>
          <w:sz w:val="32"/>
          <w:szCs w:val="32"/>
        </w:rPr>
        <w:t>、</w:t>
      </w:r>
      <w:r>
        <w:rPr>
          <w:rFonts w:hint="eastAsia" w:ascii="仿宋_GB2312" w:eastAsia="仿宋_GB2312"/>
          <w:sz w:val="32"/>
          <w:szCs w:val="32"/>
          <w:lang w:val="en-US" w:eastAsia="zh-CN"/>
        </w:rPr>
        <w:t>综合统计处</w:t>
      </w:r>
      <w:r>
        <w:rPr>
          <w:rFonts w:hint="eastAsia" w:ascii="仿宋_GB2312" w:eastAsia="仿宋_GB2312"/>
          <w:sz w:val="32"/>
          <w:szCs w:val="32"/>
        </w:rPr>
        <w:t>、</w:t>
      </w:r>
      <w:r>
        <w:rPr>
          <w:rFonts w:hint="eastAsia" w:ascii="仿宋_GB2312" w:eastAsia="仿宋_GB2312"/>
          <w:sz w:val="32"/>
          <w:szCs w:val="32"/>
          <w:lang w:val="en-US" w:eastAsia="zh-CN"/>
        </w:rPr>
        <w:t>专项调查处</w:t>
      </w:r>
      <w:r>
        <w:rPr>
          <w:rFonts w:hint="eastAsia" w:ascii="仿宋_GB2312" w:eastAsia="仿宋_GB2312"/>
          <w:sz w:val="32"/>
          <w:szCs w:val="32"/>
        </w:rPr>
        <w:t>、</w:t>
      </w:r>
      <w:r>
        <w:rPr>
          <w:rFonts w:hint="eastAsia" w:ascii="仿宋_GB2312" w:eastAsia="仿宋_GB2312"/>
          <w:sz w:val="32"/>
          <w:szCs w:val="32"/>
          <w:lang w:val="en-US" w:eastAsia="zh-CN"/>
        </w:rPr>
        <w:t>医疗服务评价处</w:t>
      </w:r>
      <w:r>
        <w:rPr>
          <w:rFonts w:hint="eastAsia" w:ascii="仿宋_GB2312" w:eastAsia="仿宋_GB2312"/>
          <w:sz w:val="32"/>
          <w:szCs w:val="32"/>
        </w:rPr>
        <w:t>、</w:t>
      </w:r>
      <w:r>
        <w:rPr>
          <w:rFonts w:hint="eastAsia" w:ascii="仿宋_GB2312" w:eastAsia="仿宋_GB2312"/>
          <w:sz w:val="32"/>
          <w:szCs w:val="32"/>
          <w:lang w:val="en-US" w:eastAsia="zh-CN"/>
        </w:rPr>
        <w:t>信息化建设处</w:t>
      </w:r>
      <w:r>
        <w:rPr>
          <w:rFonts w:hint="eastAsia" w:ascii="仿宋_GB2312" w:eastAsia="仿宋_GB2312"/>
          <w:sz w:val="32"/>
          <w:szCs w:val="32"/>
        </w:rPr>
        <w:t>、</w:t>
      </w:r>
      <w:r>
        <w:rPr>
          <w:rFonts w:hint="eastAsia" w:ascii="仿宋_GB2312" w:eastAsia="仿宋_GB2312"/>
          <w:sz w:val="32"/>
          <w:szCs w:val="32"/>
          <w:lang w:val="en-US" w:eastAsia="zh-CN"/>
        </w:rPr>
        <w:t>健康医疗大数据处、项目监管处</w:t>
      </w:r>
      <w:r>
        <w:rPr>
          <w:rFonts w:hint="eastAsia" w:ascii="仿宋_GB2312" w:eastAsia="仿宋_GB2312"/>
          <w:sz w:val="32"/>
          <w:szCs w:val="32"/>
        </w:rPr>
        <w:t>。</w:t>
      </w:r>
    </w:p>
    <w:p w14:paraId="72ACD395">
      <w:pPr>
        <w:spacing w:line="600" w:lineRule="exact"/>
        <w:ind w:firstLine="640" w:firstLineChars="200"/>
        <w:rPr>
          <w:rFonts w:ascii="仿宋_GB2312" w:eastAsia="仿宋_GB2312"/>
          <w:sz w:val="32"/>
          <w:szCs w:val="32"/>
        </w:rPr>
      </w:pPr>
      <w:r>
        <w:rPr>
          <w:rFonts w:hint="eastAsia" w:ascii="仿宋_GB2312" w:eastAsia="仿宋_GB2312"/>
          <w:sz w:val="32"/>
          <w:szCs w:val="32"/>
        </w:rPr>
        <w:t>（二）国家中医药</w:t>
      </w:r>
      <w:r>
        <w:rPr>
          <w:rFonts w:hint="eastAsia" w:ascii="仿宋_GB2312" w:eastAsia="仿宋_GB2312"/>
          <w:sz w:val="32"/>
          <w:szCs w:val="32"/>
          <w:lang w:val="en-US" w:eastAsia="zh-CN"/>
        </w:rPr>
        <w:t>管理局监测统计中心</w:t>
      </w:r>
      <w:r>
        <w:rPr>
          <w:rFonts w:hint="eastAsia" w:ascii="仿宋_GB2312" w:eastAsia="仿宋_GB2312"/>
          <w:sz w:val="32"/>
          <w:szCs w:val="32"/>
        </w:rPr>
        <w:t>财政补助事业编制</w:t>
      </w:r>
      <w:r>
        <w:rPr>
          <w:rFonts w:hint="eastAsia" w:ascii="仿宋_GB2312" w:eastAsia="仿宋_GB2312"/>
          <w:sz w:val="32"/>
          <w:szCs w:val="32"/>
          <w:lang w:val="en-US" w:eastAsia="zh-CN"/>
        </w:rPr>
        <w:t>70</w:t>
      </w:r>
      <w:r>
        <w:rPr>
          <w:rFonts w:hint="eastAsia" w:ascii="仿宋_GB2312" w:eastAsia="仿宋_GB2312"/>
          <w:sz w:val="32"/>
          <w:szCs w:val="32"/>
        </w:rPr>
        <w:t>名。其中，领导班子职数1正3副（含党组织领导职数1名）；内设机构正副职领导职数</w:t>
      </w:r>
      <w:r>
        <w:rPr>
          <w:rFonts w:hint="eastAsia" w:ascii="仿宋_GB2312" w:eastAsia="仿宋_GB2312"/>
          <w:sz w:val="32"/>
          <w:szCs w:val="32"/>
          <w:lang w:val="en-US" w:eastAsia="zh-CN"/>
        </w:rPr>
        <w:t>28</w:t>
      </w:r>
      <w:r>
        <w:rPr>
          <w:rFonts w:hint="eastAsia" w:ascii="仿宋_GB2312" w:eastAsia="仿宋_GB2312"/>
          <w:sz w:val="32"/>
          <w:szCs w:val="32"/>
        </w:rPr>
        <w:t>名。</w:t>
      </w:r>
    </w:p>
    <w:p w14:paraId="01E18A02">
      <w:pPr>
        <w:rPr>
          <w:rFonts w:ascii="仿宋_GB2312" w:eastAsia="仿宋_GB2312"/>
          <w:sz w:val="32"/>
          <w:szCs w:val="32"/>
        </w:rPr>
      </w:pPr>
    </w:p>
    <w:p w14:paraId="2982F6F5">
      <w:pPr>
        <w:rPr>
          <w:rFonts w:ascii="仿宋_GB2312" w:eastAsia="仿宋_GB2312"/>
          <w:sz w:val="32"/>
          <w:szCs w:val="32"/>
        </w:rPr>
      </w:pPr>
    </w:p>
    <w:p w14:paraId="79970E41">
      <w:pPr>
        <w:rPr>
          <w:rFonts w:ascii="仿宋_GB2312" w:eastAsia="仿宋_GB2312"/>
          <w:sz w:val="32"/>
          <w:szCs w:val="32"/>
        </w:rPr>
      </w:pPr>
    </w:p>
    <w:p w14:paraId="259867EF">
      <w:pPr>
        <w:rPr>
          <w:rFonts w:ascii="仿宋_GB2312" w:eastAsia="仿宋_GB2312"/>
          <w:sz w:val="32"/>
          <w:szCs w:val="32"/>
        </w:rPr>
      </w:pPr>
    </w:p>
    <w:p w14:paraId="43BD6330">
      <w:pPr>
        <w:spacing w:line="600" w:lineRule="exact"/>
        <w:jc w:val="center"/>
        <w:rPr>
          <w:rFonts w:ascii="黑体" w:hAnsi="黑体" w:eastAsia="黑体"/>
          <w:bCs/>
          <w:sz w:val="32"/>
          <w:szCs w:val="32"/>
        </w:rPr>
      </w:pPr>
      <w:r>
        <w:rPr>
          <w:rFonts w:hint="eastAsia" w:ascii="黑体" w:hAnsi="黑体" w:eastAsia="黑体"/>
          <w:bCs/>
          <w:sz w:val="32"/>
          <w:szCs w:val="32"/>
        </w:rPr>
        <w:t>第二部分 202</w:t>
      </w:r>
      <w:r>
        <w:rPr>
          <w:rFonts w:hint="eastAsia" w:ascii="黑体" w:hAnsi="黑体" w:eastAsia="黑体"/>
          <w:bCs/>
          <w:sz w:val="32"/>
          <w:szCs w:val="32"/>
          <w:lang w:val="en-US" w:eastAsia="zh-CN"/>
        </w:rPr>
        <w:t>6</w:t>
      </w:r>
      <w:r>
        <w:rPr>
          <w:rFonts w:hint="eastAsia" w:ascii="黑体" w:hAnsi="黑体" w:eastAsia="黑体"/>
          <w:bCs/>
          <w:sz w:val="32"/>
          <w:szCs w:val="32"/>
        </w:rPr>
        <w:t>年单位预算表</w:t>
      </w:r>
    </w:p>
    <w:p w14:paraId="356999B8">
      <w:pPr>
        <w:rPr>
          <w:rFonts w:hint="eastAsia" w:eastAsia="宋体"/>
          <w:lang w:eastAsia="zh-CN"/>
        </w:rPr>
      </w:pPr>
      <w:r>
        <w:rPr>
          <w:rFonts w:hint="eastAsia"/>
        </w:rPr>
        <w:t xml:space="preserve">  </w:t>
      </w:r>
    </w:p>
    <w:p w14:paraId="5A5B35C9">
      <w:pPr>
        <w:tabs>
          <w:tab w:val="left" w:pos="3777"/>
        </w:tabs>
        <w:rPr>
          <w:rFonts w:hint="eastAsia" w:eastAsia="宋体"/>
          <w:lang w:eastAsia="zh-CN"/>
        </w:rPr>
      </w:pPr>
      <w:r>
        <w:rPr>
          <w:rFonts w:hint="eastAsia"/>
          <w:lang w:eastAsia="zh-CN"/>
        </w:rPr>
        <w:object>
          <v:shape id="_x0000_i1025" o:spt="75" type="#_x0000_t75" style="height:266.45pt;width:457.95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r>
        <w:rPr>
          <w:rFonts w:hint="eastAsia"/>
          <w:lang w:eastAsia="zh-CN"/>
        </w:rPr>
        <w:tab/>
      </w:r>
    </w:p>
    <w:p w14:paraId="25C3C3ED">
      <w:pPr>
        <w:rPr>
          <w:rFonts w:hint="eastAsia"/>
        </w:rPr>
      </w:pPr>
      <w:r>
        <w:rPr>
          <w:rFonts w:hint="eastAsia"/>
        </w:rPr>
        <w:object>
          <v:shape id="_x0000_i1026" o:spt="75" type="#_x0000_t75" style="height:142.5pt;width:442.05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p w14:paraId="465FDA57">
      <w:pPr>
        <w:rPr>
          <w:rFonts w:hint="eastAsia"/>
        </w:rPr>
      </w:pPr>
      <w:r>
        <w:rPr>
          <w:rFonts w:hint="eastAsia"/>
        </w:rPr>
        <w:object>
          <v:shape id="_x0000_i1027" o:spt="75" type="#_x0000_t75" style="height:283.65pt;width:442pt;" o:ole="t" filled="f" o:preferrelative="t" stroked="f" coordsize="21600,21600">
            <v:path/>
            <v:fill on="f" focussize="0,0"/>
            <v:stroke on="f"/>
            <v:imagedata r:id="rId10" o:title=""/>
            <o:lock v:ext="edit" aspectratio="f"/>
            <w10:wrap type="none"/>
            <w10:anchorlock/>
          </v:shape>
          <o:OLEObject Type="Embed" ProgID="Excel.Sheet.12" ShapeID="_x0000_i1027" DrawAspect="Content" ObjectID="_1468075727" r:id="rId9">
            <o:LockedField>false</o:LockedField>
          </o:OLEObject>
        </w:object>
      </w:r>
    </w:p>
    <w:p w14:paraId="49FCD8BB">
      <w:pPr>
        <w:rPr>
          <w:rFonts w:hint="eastAsia"/>
        </w:rPr>
      </w:pPr>
      <w:r>
        <w:rPr>
          <w:rFonts w:hint="eastAsia"/>
        </w:rPr>
        <w:object>
          <v:shape id="_x0000_i1028" o:spt="75" type="#_x0000_t75" style="height:314.75pt;width:442.05pt;" o:ole="t" filled="f" o:preferrelative="t" stroked="f" coordsize="21600,21600">
            <v:path/>
            <v:fill on="f" focussize="0,0"/>
            <v:stroke on="f"/>
            <v:imagedata r:id="rId12" o:title=""/>
            <o:lock v:ext="edit" aspectratio="f"/>
            <w10:wrap type="none"/>
            <w10:anchorlock/>
          </v:shape>
          <o:OLEObject Type="Embed" ProgID="Excel.Sheet.12" ShapeID="_x0000_i1028" DrawAspect="Content" ObjectID="_1468075728" r:id="rId11">
            <o:LockedField>false</o:LockedField>
          </o:OLEObject>
        </w:object>
      </w:r>
    </w:p>
    <w:p w14:paraId="5AD79460"/>
    <w:p w14:paraId="6D9664E7"/>
    <w:p w14:paraId="3210F292"/>
    <w:p w14:paraId="7EAC756F">
      <w:r>
        <w:object>
          <v:shape id="_x0000_i1029" o:spt="75" type="#_x0000_t75" style="height:229.45pt;width:442.05pt;" o:ole="t" filled="f" o:preferrelative="t" stroked="f" coordsize="21600,21600">
            <v:path/>
            <v:fill on="f" focussize="0,0"/>
            <v:stroke on="f"/>
            <v:imagedata r:id="rId14" o:title=""/>
            <o:lock v:ext="edit" aspectratio="f"/>
            <w10:wrap type="none"/>
            <w10:anchorlock/>
          </v:shape>
          <o:OLEObject Type="Embed" ProgID="Excel.Sheet.12" ShapeID="_x0000_i1029" DrawAspect="Content" ObjectID="_1468075729" r:id="rId13">
            <o:LockedField>false</o:LockedField>
          </o:OLEObject>
        </w:object>
      </w:r>
    </w:p>
    <w:p w14:paraId="742D6FD5">
      <w:r>
        <w:rPr>
          <w:rFonts w:hint="eastAsia"/>
        </w:rPr>
        <w:t xml:space="preserve"> </w:t>
      </w:r>
      <w:r>
        <w:object>
          <v:shape id="_x0000_i1030" o:spt="75" type="#_x0000_t75" style="height:376.2pt;width:441.75pt;" o:ole="t" filled="f" o:preferrelative="t" stroked="f" coordsize="21600,21600">
            <v:path/>
            <v:fill on="f" focussize="0,0"/>
            <v:stroke on="f"/>
            <v:imagedata r:id="rId16" o:title=""/>
            <o:lock v:ext="edit" aspectratio="f"/>
            <w10:wrap type="none"/>
            <w10:anchorlock/>
          </v:shape>
          <o:OLEObject Type="Embed" ProgID="Excel.Sheet.12" ShapeID="_x0000_i1030" DrawAspect="Content" ObjectID="_1468075730" r:id="rId15">
            <o:LockedField>false</o:LockedField>
          </o:OLEObject>
        </w:object>
      </w:r>
    </w:p>
    <w:p w14:paraId="3A410ECE"/>
    <w:p w14:paraId="0BDDB30A"/>
    <w:p w14:paraId="5EA8E1B1">
      <w:pPr>
        <w:sectPr>
          <w:footerReference r:id="rId3" w:type="default"/>
          <w:pgSz w:w="11906" w:h="16838"/>
          <w:pgMar w:top="1701" w:right="1531" w:bottom="1701" w:left="1531" w:header="851" w:footer="992" w:gutter="0"/>
          <w:cols w:space="720" w:num="1"/>
          <w:docGrid w:type="lines" w:linePitch="312" w:charSpace="0"/>
        </w:sectPr>
      </w:pPr>
      <w:r>
        <w:object>
          <v:shape id="_x0000_i1031" o:spt="75" type="#_x0000_t75" style="height:565.35pt;width:442pt;" o:ole="t" filled="f" o:preferrelative="t" stroked="f" coordsize="21600,21600">
            <v:path/>
            <v:fill on="f" focussize="0,0"/>
            <v:stroke on="f"/>
            <v:imagedata r:id="rId18" o:title=""/>
            <o:lock v:ext="edit" aspectratio="f"/>
            <w10:wrap type="none"/>
            <w10:anchorlock/>
          </v:shape>
          <o:OLEObject Type="Embed" ProgID="Excel.Sheet.12" ShapeID="_x0000_i1031" DrawAspect="Content" ObjectID="_1468075731" r:id="rId17">
            <o:LockedField>false</o:LockedField>
          </o:OLEObject>
        </w:object>
      </w:r>
    </w:p>
    <w:p w14:paraId="193509AE">
      <w:r>
        <w:object>
          <v:shape id="_x0000_i1032" o:spt="75" type="#_x0000_t75" style="height:598.45pt;width:441.7pt;" o:ole="t" filled="f" o:preferrelative="t" stroked="f" coordsize="21600,21600">
            <v:path/>
            <v:fill on="f" focussize="0,0"/>
            <v:stroke on="f"/>
            <v:imagedata r:id="rId20" o:title=""/>
            <o:lock v:ext="edit" aspectratio="f"/>
            <w10:wrap type="none"/>
            <w10:anchorlock/>
          </v:shape>
          <o:OLEObject Type="Embed" ProgID="Excel.Sheet.12" ShapeID="_x0000_i1032" DrawAspect="Content" ObjectID="_1468075732" r:id="rId19">
            <o:LockedField>false</o:LockedField>
          </o:OLEObject>
        </w:object>
      </w:r>
    </w:p>
    <w:p w14:paraId="1F59DA78">
      <w:r>
        <w:object>
          <v:shape id="_x0000_i1033" o:spt="75" type="#_x0000_t75" style="height:525.05pt;width:442pt;" o:ole="t" filled="f" o:preferrelative="t" stroked="f" coordsize="21600,21600">
            <v:path/>
            <v:fill on="f" focussize="0,0"/>
            <v:stroke on="f"/>
            <v:imagedata r:id="rId22" o:title=""/>
            <o:lock v:ext="edit" aspectratio="f"/>
            <w10:wrap type="none"/>
            <w10:anchorlock/>
          </v:shape>
          <o:OLEObject Type="Embed" ProgID="Excel.Sheet.12" ShapeID="_x0000_i1033" DrawAspect="Content" ObjectID="_1468075733" r:id="rId21">
            <o:LockedField>false</o:LockedField>
          </o:OLEObject>
        </w:object>
      </w:r>
    </w:p>
    <w:p w14:paraId="178DDEC1">
      <w:pPr>
        <w:keepNext w:val="0"/>
        <w:keepLines w:val="0"/>
        <w:pageBreakBefore/>
        <w:widowControl w:val="0"/>
        <w:kinsoku/>
        <w:wordWrap/>
        <w:overflowPunct/>
        <w:topLinePunct w:val="0"/>
        <w:autoSpaceDE/>
        <w:autoSpaceDN/>
        <w:bidi w:val="0"/>
        <w:adjustRightInd/>
        <w:snapToGrid/>
        <w:spacing w:line="600" w:lineRule="exact"/>
        <w:jc w:val="center"/>
        <w:textAlignment w:val="auto"/>
        <w:rPr>
          <w:rFonts w:ascii="黑体" w:hAnsi="黑体" w:eastAsia="黑体"/>
          <w:bCs/>
          <w:color w:val="auto"/>
          <w:sz w:val="32"/>
          <w:szCs w:val="32"/>
        </w:rPr>
      </w:pPr>
      <w:r>
        <w:rPr>
          <w:rFonts w:hint="eastAsia" w:ascii="黑体" w:hAnsi="黑体" w:eastAsia="黑体"/>
          <w:bCs/>
          <w:color w:val="auto"/>
          <w:sz w:val="32"/>
          <w:szCs w:val="32"/>
        </w:rPr>
        <w:t>第三部分 202</w:t>
      </w:r>
      <w:r>
        <w:rPr>
          <w:rFonts w:hint="eastAsia" w:ascii="黑体" w:hAnsi="黑体" w:eastAsia="黑体"/>
          <w:bCs/>
          <w:color w:val="auto"/>
          <w:sz w:val="32"/>
          <w:szCs w:val="32"/>
          <w:lang w:val="en-US" w:eastAsia="zh-CN"/>
        </w:rPr>
        <w:t>6</w:t>
      </w:r>
      <w:r>
        <w:rPr>
          <w:rFonts w:hint="eastAsia" w:ascii="黑体" w:hAnsi="黑体" w:eastAsia="黑体"/>
          <w:bCs/>
          <w:color w:val="auto"/>
          <w:sz w:val="32"/>
          <w:szCs w:val="32"/>
        </w:rPr>
        <w:t>年</w:t>
      </w:r>
      <w:r>
        <w:rPr>
          <w:rFonts w:hint="eastAsia" w:ascii="黑体" w:hAnsi="黑体" w:eastAsia="黑体"/>
          <w:bCs/>
          <w:color w:val="auto"/>
          <w:sz w:val="32"/>
          <w:szCs w:val="32"/>
          <w:lang w:val="en-US" w:eastAsia="zh-CN"/>
        </w:rPr>
        <w:t>部门</w:t>
      </w:r>
      <w:r>
        <w:rPr>
          <w:rFonts w:hint="eastAsia" w:ascii="黑体" w:hAnsi="黑体" w:eastAsia="黑体"/>
          <w:bCs/>
          <w:color w:val="auto"/>
          <w:sz w:val="32"/>
          <w:szCs w:val="32"/>
        </w:rPr>
        <w:t>预算情况说明</w:t>
      </w:r>
    </w:p>
    <w:p w14:paraId="5153C363">
      <w:pPr>
        <w:spacing w:line="600" w:lineRule="exact"/>
        <w:jc w:val="center"/>
        <w:rPr>
          <w:rFonts w:ascii="黑体" w:hAnsi="黑体" w:eastAsia="黑体"/>
          <w:bCs/>
          <w:sz w:val="32"/>
          <w:szCs w:val="32"/>
        </w:rPr>
      </w:pPr>
    </w:p>
    <w:p w14:paraId="407FC4C8">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一、关于202</w:t>
      </w:r>
      <w:r>
        <w:rPr>
          <w:rFonts w:hint="eastAsia" w:ascii="黑体" w:hAnsi="黑体" w:eastAsia="黑体"/>
          <w:bCs/>
          <w:sz w:val="32"/>
          <w:szCs w:val="32"/>
          <w:lang w:val="en-US" w:eastAsia="zh-CN"/>
        </w:rPr>
        <w:t>6</w:t>
      </w:r>
      <w:r>
        <w:rPr>
          <w:rFonts w:hint="eastAsia" w:ascii="黑体" w:hAnsi="黑体" w:eastAsia="黑体"/>
          <w:bCs/>
          <w:sz w:val="32"/>
          <w:szCs w:val="32"/>
        </w:rPr>
        <w:t>年</w:t>
      </w:r>
      <w:r>
        <w:rPr>
          <w:rFonts w:hint="eastAsia" w:ascii="黑体" w:hAnsi="黑体" w:eastAsia="黑体"/>
          <w:bCs/>
          <w:sz w:val="32"/>
          <w:szCs w:val="32"/>
          <w:lang w:val="en-US" w:eastAsia="zh-CN"/>
        </w:rPr>
        <w:t>部门</w:t>
      </w:r>
      <w:r>
        <w:rPr>
          <w:rFonts w:hint="eastAsia" w:ascii="黑体" w:hAnsi="黑体" w:eastAsia="黑体"/>
          <w:bCs/>
          <w:sz w:val="32"/>
          <w:szCs w:val="32"/>
        </w:rPr>
        <w:t>收支总表的说明</w:t>
      </w:r>
    </w:p>
    <w:p w14:paraId="526FD38D">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年收支总预算</w:t>
      </w:r>
      <w:r>
        <w:rPr>
          <w:rFonts w:hint="eastAsia" w:ascii="仿宋_GB2312" w:eastAsia="仿宋_GB2312"/>
          <w:sz w:val="32"/>
          <w:szCs w:val="32"/>
          <w:lang w:val="en-US" w:eastAsia="zh-CN"/>
        </w:rPr>
        <w:t>2967.59</w:t>
      </w:r>
      <w:r>
        <w:rPr>
          <w:rFonts w:hint="eastAsia" w:ascii="仿宋_GB2312" w:eastAsia="仿宋_GB2312"/>
          <w:sz w:val="32"/>
          <w:szCs w:val="32"/>
        </w:rPr>
        <w:t>万元。收入包括：一般公共预算拨款收入、事业收入、</w:t>
      </w:r>
      <w:r>
        <w:rPr>
          <w:rFonts w:hint="eastAsia" w:ascii="仿宋_GB2312" w:eastAsia="仿宋_GB2312"/>
          <w:sz w:val="32"/>
          <w:szCs w:val="32"/>
          <w:lang w:eastAsia="zh-CN"/>
        </w:rPr>
        <w:t>其他收入、</w:t>
      </w:r>
      <w:r>
        <w:rPr>
          <w:rFonts w:hint="eastAsia" w:ascii="仿宋_GB2312" w:eastAsia="仿宋_GB2312"/>
          <w:sz w:val="32"/>
          <w:szCs w:val="32"/>
        </w:rPr>
        <w:t>上年结转;支出包括：社会保障和就业支出、卫生健康支出、住房保障支出。</w:t>
      </w:r>
    </w:p>
    <w:p w14:paraId="7B6186CA">
      <w:pPr>
        <w:spacing w:line="600" w:lineRule="exact"/>
        <w:ind w:firstLine="640" w:firstLineChars="200"/>
        <w:rPr>
          <w:rFonts w:ascii="黑体" w:hAnsi="黑体" w:eastAsia="黑体"/>
          <w:bCs/>
          <w:color w:val="auto"/>
          <w:sz w:val="32"/>
          <w:szCs w:val="32"/>
        </w:rPr>
      </w:pPr>
      <w:r>
        <w:rPr>
          <w:rFonts w:hint="eastAsia" w:ascii="黑体" w:hAnsi="黑体" w:eastAsia="黑体"/>
          <w:bCs/>
          <w:sz w:val="32"/>
          <w:szCs w:val="32"/>
        </w:rPr>
        <w:t>二、</w:t>
      </w:r>
      <w:r>
        <w:rPr>
          <w:rFonts w:hint="eastAsia" w:ascii="黑体" w:hAnsi="黑体" w:eastAsia="黑体"/>
          <w:bCs/>
          <w:color w:val="auto"/>
          <w:sz w:val="32"/>
          <w:szCs w:val="32"/>
        </w:rPr>
        <w:t>关于202</w:t>
      </w:r>
      <w:r>
        <w:rPr>
          <w:rFonts w:hint="eastAsia" w:ascii="黑体" w:hAnsi="黑体" w:eastAsia="黑体"/>
          <w:bCs/>
          <w:color w:val="auto"/>
          <w:sz w:val="32"/>
          <w:szCs w:val="32"/>
          <w:lang w:val="en-US" w:eastAsia="zh-CN"/>
        </w:rPr>
        <w:t>6</w:t>
      </w:r>
      <w:r>
        <w:rPr>
          <w:rFonts w:hint="eastAsia" w:ascii="黑体" w:hAnsi="黑体" w:eastAsia="黑体"/>
          <w:bCs/>
          <w:color w:val="auto"/>
          <w:sz w:val="32"/>
          <w:szCs w:val="32"/>
        </w:rPr>
        <w:t>年</w:t>
      </w:r>
      <w:r>
        <w:rPr>
          <w:rFonts w:hint="eastAsia" w:ascii="黑体" w:hAnsi="黑体" w:eastAsia="黑体"/>
          <w:bCs/>
          <w:color w:val="auto"/>
          <w:sz w:val="32"/>
          <w:szCs w:val="32"/>
          <w:lang w:val="en-US" w:eastAsia="zh-CN"/>
        </w:rPr>
        <w:t>部门</w:t>
      </w:r>
      <w:r>
        <w:rPr>
          <w:rFonts w:hint="eastAsia" w:ascii="黑体" w:hAnsi="黑体" w:eastAsia="黑体"/>
          <w:bCs/>
          <w:color w:val="auto"/>
          <w:sz w:val="32"/>
          <w:szCs w:val="32"/>
        </w:rPr>
        <w:t>收入总表的说明</w:t>
      </w:r>
    </w:p>
    <w:p w14:paraId="1E094F14">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年收入预算</w:t>
      </w:r>
      <w:r>
        <w:rPr>
          <w:rFonts w:hint="eastAsia" w:ascii="仿宋_GB2312" w:eastAsia="仿宋_GB2312"/>
          <w:sz w:val="32"/>
          <w:szCs w:val="32"/>
          <w:lang w:val="en-US" w:eastAsia="zh-CN"/>
        </w:rPr>
        <w:t>2967.59</w:t>
      </w:r>
      <w:r>
        <w:rPr>
          <w:rFonts w:hint="eastAsia" w:ascii="仿宋_GB2312" w:eastAsia="仿宋_GB2312"/>
          <w:sz w:val="32"/>
          <w:szCs w:val="32"/>
        </w:rPr>
        <w:t>万元，其中：一般公共预算拨款收入</w:t>
      </w:r>
      <w:r>
        <w:rPr>
          <w:rFonts w:hint="eastAsia" w:ascii="仿宋_GB2312" w:eastAsia="仿宋_GB2312"/>
          <w:sz w:val="32"/>
          <w:szCs w:val="32"/>
          <w:lang w:val="en-US" w:eastAsia="zh-CN"/>
        </w:rPr>
        <w:t>2369.69</w:t>
      </w:r>
      <w:r>
        <w:rPr>
          <w:rFonts w:hint="eastAsia" w:ascii="仿宋_GB2312" w:eastAsia="仿宋_GB2312"/>
          <w:sz w:val="32"/>
          <w:szCs w:val="32"/>
        </w:rPr>
        <w:t>万元，占</w:t>
      </w:r>
      <w:r>
        <w:rPr>
          <w:rFonts w:hint="eastAsia" w:ascii="仿宋_GB2312" w:eastAsia="仿宋_GB2312"/>
          <w:sz w:val="32"/>
          <w:szCs w:val="32"/>
          <w:lang w:val="en-US" w:eastAsia="zh-CN"/>
        </w:rPr>
        <w:t>79.85</w:t>
      </w:r>
      <w:r>
        <w:rPr>
          <w:rFonts w:hint="eastAsia" w:ascii="仿宋_GB2312" w:eastAsia="仿宋_GB2312"/>
          <w:sz w:val="32"/>
          <w:szCs w:val="32"/>
        </w:rPr>
        <w:t>%；事业收入</w:t>
      </w:r>
      <w:r>
        <w:rPr>
          <w:rFonts w:hint="eastAsia" w:ascii="仿宋_GB2312" w:eastAsia="仿宋_GB2312"/>
          <w:sz w:val="32"/>
          <w:szCs w:val="32"/>
          <w:lang w:val="en-US" w:eastAsia="zh-CN"/>
        </w:rPr>
        <w:t>500</w:t>
      </w:r>
      <w:r>
        <w:rPr>
          <w:rFonts w:hint="eastAsia" w:ascii="仿宋_GB2312" w:eastAsia="仿宋_GB2312"/>
          <w:sz w:val="32"/>
          <w:szCs w:val="32"/>
        </w:rPr>
        <w:t>万元，占</w:t>
      </w:r>
      <w:r>
        <w:rPr>
          <w:rFonts w:hint="eastAsia" w:ascii="仿宋_GB2312" w:eastAsia="仿宋_GB2312"/>
          <w:sz w:val="32"/>
          <w:szCs w:val="32"/>
          <w:lang w:val="en-US" w:eastAsia="zh-CN"/>
        </w:rPr>
        <w:t>16.85</w:t>
      </w:r>
      <w:r>
        <w:rPr>
          <w:rFonts w:hint="eastAsia" w:ascii="仿宋_GB2312" w:eastAsia="仿宋_GB2312"/>
          <w:sz w:val="32"/>
          <w:szCs w:val="32"/>
        </w:rPr>
        <w:t>%；</w:t>
      </w:r>
      <w:r>
        <w:rPr>
          <w:rFonts w:hint="eastAsia" w:ascii="仿宋_GB2312" w:eastAsia="仿宋_GB2312"/>
          <w:sz w:val="32"/>
          <w:szCs w:val="32"/>
          <w:lang w:eastAsia="zh-CN"/>
        </w:rPr>
        <w:t>其他收入</w:t>
      </w:r>
      <w:r>
        <w:rPr>
          <w:rFonts w:hint="eastAsia" w:ascii="仿宋_GB2312" w:eastAsia="仿宋_GB2312"/>
          <w:sz w:val="32"/>
          <w:szCs w:val="32"/>
          <w:lang w:val="en-US" w:eastAsia="zh-CN"/>
        </w:rPr>
        <w:t>3万元</w:t>
      </w:r>
      <w:r>
        <w:rPr>
          <w:rFonts w:hint="eastAsia" w:ascii="仿宋_GB2312" w:eastAsia="仿宋_GB2312"/>
          <w:sz w:val="32"/>
          <w:szCs w:val="32"/>
          <w:lang w:eastAsia="zh-CN"/>
        </w:rPr>
        <w:t>，占</w:t>
      </w:r>
      <w:r>
        <w:rPr>
          <w:rFonts w:hint="eastAsia" w:ascii="仿宋_GB2312" w:eastAsia="仿宋_GB2312"/>
          <w:sz w:val="32"/>
          <w:szCs w:val="32"/>
          <w:lang w:val="en-US" w:eastAsia="zh-CN"/>
        </w:rPr>
        <w:t>0.01%；</w:t>
      </w:r>
      <w:r>
        <w:rPr>
          <w:rFonts w:hint="eastAsia" w:ascii="仿宋_GB2312" w:eastAsia="仿宋_GB2312"/>
          <w:sz w:val="32"/>
          <w:szCs w:val="32"/>
        </w:rPr>
        <w:t>上年结转</w:t>
      </w:r>
      <w:r>
        <w:rPr>
          <w:rFonts w:hint="eastAsia" w:ascii="仿宋_GB2312" w:eastAsia="仿宋_GB2312"/>
          <w:sz w:val="32"/>
          <w:szCs w:val="32"/>
          <w:lang w:val="en-US" w:eastAsia="zh-CN"/>
        </w:rPr>
        <w:t>94.9</w:t>
      </w:r>
      <w:r>
        <w:rPr>
          <w:rFonts w:hint="eastAsia" w:ascii="仿宋_GB2312" w:eastAsia="仿宋_GB2312"/>
          <w:sz w:val="32"/>
          <w:szCs w:val="32"/>
        </w:rPr>
        <w:t>万元，占</w:t>
      </w:r>
      <w:r>
        <w:rPr>
          <w:rFonts w:hint="eastAsia" w:ascii="仿宋_GB2312" w:eastAsia="仿宋_GB2312"/>
          <w:sz w:val="32"/>
          <w:szCs w:val="32"/>
          <w:lang w:val="en-US" w:eastAsia="zh-CN"/>
        </w:rPr>
        <w:t>3.2</w:t>
      </w:r>
      <w:r>
        <w:rPr>
          <w:rFonts w:hint="eastAsia" w:ascii="仿宋_GB2312" w:eastAsia="仿宋_GB2312"/>
          <w:sz w:val="32"/>
          <w:szCs w:val="32"/>
        </w:rPr>
        <w:t xml:space="preserve">%。 </w:t>
      </w:r>
    </w:p>
    <w:p w14:paraId="1127A6C5">
      <w:pPr>
        <w:spacing w:line="240" w:lineRule="auto"/>
        <w:jc w:val="center"/>
      </w:pPr>
      <w:r>
        <w:rPr>
          <w:rFonts w:hint="eastAsia" w:ascii="仿宋_GB2312" w:eastAsia="仿宋_GB2312"/>
          <w:sz w:val="32"/>
          <w:szCs w:val="32"/>
          <w:lang w:eastAsia="zh-CN"/>
        </w:rPr>
        <w:drawing>
          <wp:inline distT="0" distB="0" distL="114300" distR="114300">
            <wp:extent cx="5256530" cy="3072765"/>
            <wp:effectExtent l="4445" t="4445" r="15875" b="8890"/>
            <wp:docPr id="1"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E0C688E">
      <w:pPr>
        <w:spacing w:line="600" w:lineRule="exact"/>
        <w:ind w:firstLine="640" w:firstLineChars="200"/>
        <w:rPr>
          <w:rFonts w:ascii="黑体" w:hAnsi="黑体" w:eastAsia="黑体"/>
          <w:bCs/>
          <w:color w:val="auto"/>
          <w:sz w:val="32"/>
          <w:szCs w:val="32"/>
        </w:rPr>
      </w:pPr>
      <w:r>
        <w:rPr>
          <w:rFonts w:hint="eastAsia" w:ascii="黑体" w:hAnsi="黑体" w:eastAsia="黑体"/>
          <w:bCs/>
          <w:sz w:val="32"/>
          <w:szCs w:val="32"/>
        </w:rPr>
        <w:t>三</w:t>
      </w:r>
      <w:r>
        <w:rPr>
          <w:rFonts w:hint="eastAsia" w:ascii="黑体" w:hAnsi="黑体" w:eastAsia="黑体"/>
          <w:bCs/>
          <w:color w:val="auto"/>
          <w:sz w:val="32"/>
          <w:szCs w:val="32"/>
        </w:rPr>
        <w:t>、关于202</w:t>
      </w:r>
      <w:r>
        <w:rPr>
          <w:rFonts w:hint="eastAsia" w:ascii="黑体" w:hAnsi="黑体" w:eastAsia="黑体"/>
          <w:bCs/>
          <w:color w:val="auto"/>
          <w:sz w:val="32"/>
          <w:szCs w:val="32"/>
          <w:lang w:val="en-US" w:eastAsia="zh-CN"/>
        </w:rPr>
        <w:t>6</w:t>
      </w:r>
      <w:r>
        <w:rPr>
          <w:rFonts w:hint="eastAsia" w:ascii="黑体" w:hAnsi="黑体" w:eastAsia="黑体"/>
          <w:bCs/>
          <w:color w:val="auto"/>
          <w:sz w:val="32"/>
          <w:szCs w:val="32"/>
        </w:rPr>
        <w:t>年</w:t>
      </w:r>
      <w:r>
        <w:rPr>
          <w:rFonts w:hint="eastAsia" w:ascii="黑体" w:hAnsi="黑体" w:eastAsia="黑体"/>
          <w:bCs/>
          <w:color w:val="auto"/>
          <w:sz w:val="32"/>
          <w:szCs w:val="32"/>
          <w:lang w:val="en-US" w:eastAsia="zh-CN"/>
        </w:rPr>
        <w:t>部门</w:t>
      </w:r>
      <w:r>
        <w:rPr>
          <w:rFonts w:hint="eastAsia" w:ascii="黑体" w:hAnsi="黑体" w:eastAsia="黑体"/>
          <w:bCs/>
          <w:color w:val="auto"/>
          <w:sz w:val="32"/>
          <w:szCs w:val="32"/>
        </w:rPr>
        <w:t>支出总表的说明</w:t>
      </w:r>
    </w:p>
    <w:p w14:paraId="58918D1A">
      <w:pPr>
        <w:spacing w:line="600" w:lineRule="exact"/>
        <w:ind w:firstLine="640" w:firstLineChars="200"/>
        <w:rPr>
          <w:rFonts w:hint="eastAsia" w:ascii="仿宋_GB2312" w:eastAsia="仿宋_GB2312"/>
          <w:color w:val="auto"/>
          <w:sz w:val="32"/>
          <w:szCs w:val="32"/>
          <w:lang w:eastAsia="zh-CN"/>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年支出预算</w:t>
      </w:r>
      <w:r>
        <w:rPr>
          <w:rFonts w:hint="eastAsia" w:ascii="仿宋_GB2312" w:eastAsia="仿宋_GB2312"/>
          <w:sz w:val="32"/>
          <w:szCs w:val="32"/>
          <w:lang w:val="en-US" w:eastAsia="zh-CN"/>
        </w:rPr>
        <w:t>2967.59</w:t>
      </w:r>
      <w:r>
        <w:rPr>
          <w:rFonts w:hint="eastAsia" w:ascii="仿宋_GB2312" w:eastAsia="仿宋_GB2312"/>
          <w:sz w:val="32"/>
          <w:szCs w:val="32"/>
        </w:rPr>
        <w:t>万元，</w:t>
      </w:r>
      <w:r>
        <w:rPr>
          <w:rFonts w:hint="eastAsia" w:ascii="仿宋_GB2312" w:eastAsia="仿宋_GB2312"/>
          <w:sz w:val="32"/>
          <w:szCs w:val="32"/>
          <w:lang w:val="en-US" w:eastAsia="zh-CN"/>
        </w:rPr>
        <w:t>其中：</w:t>
      </w:r>
      <w:r>
        <w:rPr>
          <w:rFonts w:hint="eastAsia" w:ascii="仿宋_GB2312" w:eastAsia="仿宋_GB2312"/>
          <w:sz w:val="32"/>
          <w:szCs w:val="32"/>
        </w:rPr>
        <w:t>基本支出</w:t>
      </w:r>
      <w:r>
        <w:rPr>
          <w:rFonts w:hint="eastAsia" w:ascii="仿宋_GB2312" w:eastAsia="仿宋_GB2312"/>
          <w:sz w:val="32"/>
          <w:szCs w:val="32"/>
          <w:lang w:val="en-US" w:eastAsia="zh-CN"/>
        </w:rPr>
        <w:t>1484.08</w:t>
      </w:r>
      <w:r>
        <w:rPr>
          <w:rFonts w:hint="eastAsia" w:ascii="仿宋_GB2312" w:eastAsia="仿宋_GB2312"/>
          <w:sz w:val="32"/>
          <w:szCs w:val="32"/>
        </w:rPr>
        <w:t>万元，占</w:t>
      </w:r>
      <w:r>
        <w:rPr>
          <w:rFonts w:hint="eastAsia" w:ascii="仿宋_GB2312" w:eastAsia="仿宋_GB2312"/>
          <w:sz w:val="32"/>
          <w:szCs w:val="32"/>
          <w:lang w:val="en-US" w:eastAsia="zh-CN"/>
        </w:rPr>
        <w:t>50.01</w:t>
      </w:r>
      <w:r>
        <w:rPr>
          <w:rFonts w:hint="eastAsia" w:ascii="仿宋_GB2312" w:eastAsia="仿宋_GB2312"/>
          <w:sz w:val="32"/>
          <w:szCs w:val="32"/>
        </w:rPr>
        <w:t>%</w:t>
      </w:r>
      <w:r>
        <w:rPr>
          <w:rFonts w:hint="eastAsia" w:ascii="仿宋_GB2312" w:eastAsia="仿宋_GB2312"/>
          <w:sz w:val="32"/>
          <w:szCs w:val="32"/>
          <w:lang w:eastAsia="zh-CN"/>
        </w:rPr>
        <w:t>，项目支出</w:t>
      </w:r>
      <w:r>
        <w:rPr>
          <w:rFonts w:hint="eastAsia" w:ascii="仿宋_GB2312" w:eastAsia="仿宋_GB2312"/>
          <w:sz w:val="32"/>
          <w:szCs w:val="32"/>
          <w:lang w:val="en-US" w:eastAsia="zh-CN"/>
        </w:rPr>
        <w:t>1483.51万元，</w:t>
      </w:r>
      <w:r>
        <w:rPr>
          <w:rFonts w:hint="eastAsia" w:ascii="仿宋_GB2312" w:eastAsia="仿宋_GB2312"/>
          <w:color w:val="auto"/>
          <w:sz w:val="32"/>
          <w:szCs w:val="32"/>
          <w:lang w:val="en-US" w:eastAsia="zh-CN"/>
        </w:rPr>
        <w:t>占49.99%</w:t>
      </w:r>
      <w:r>
        <w:rPr>
          <w:rFonts w:hint="eastAsia" w:ascii="仿宋_GB2312" w:eastAsia="仿宋_GB2312"/>
          <w:color w:val="auto"/>
          <w:sz w:val="32"/>
          <w:szCs w:val="32"/>
        </w:rPr>
        <w:t>。</w:t>
      </w:r>
    </w:p>
    <w:p w14:paraId="55DE33AE">
      <w:pPr>
        <w:spacing w:line="240" w:lineRule="auto"/>
        <w:ind w:firstLine="0" w:firstLineChars="0"/>
        <w:jc w:val="center"/>
        <w:rPr>
          <w:rFonts w:hint="eastAsia" w:eastAsia="宋体"/>
          <w:lang w:eastAsia="zh-CN"/>
        </w:rPr>
      </w:pPr>
      <w:r>
        <w:rPr>
          <w:rFonts w:hint="eastAsia" w:ascii="仿宋_GB2312" w:eastAsia="仿宋_GB2312"/>
          <w:color w:val="auto"/>
          <w:sz w:val="32"/>
          <w:szCs w:val="32"/>
          <w:lang w:eastAsia="zh-CN"/>
        </w:rPr>
        <w:drawing>
          <wp:inline distT="0" distB="0" distL="114300" distR="114300">
            <wp:extent cx="5379720" cy="3044825"/>
            <wp:effectExtent l="4445" t="4445" r="6985" b="17780"/>
            <wp:docPr id="2" name="图表 2"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35391B">
      <w:pPr>
        <w:spacing w:line="600" w:lineRule="exact"/>
        <w:ind w:firstLine="640" w:firstLineChars="200"/>
        <w:rPr>
          <w:rFonts w:ascii="黑体" w:hAnsi="黑体" w:eastAsia="黑体"/>
          <w:bCs/>
          <w:color w:val="auto"/>
          <w:sz w:val="32"/>
          <w:szCs w:val="32"/>
        </w:rPr>
      </w:pPr>
      <w:r>
        <w:rPr>
          <w:rFonts w:hint="eastAsia" w:ascii="黑体" w:hAnsi="黑体" w:eastAsia="黑体"/>
          <w:bCs/>
          <w:sz w:val="32"/>
          <w:szCs w:val="32"/>
        </w:rPr>
        <w:t>四、</w:t>
      </w:r>
      <w:r>
        <w:rPr>
          <w:rFonts w:hint="eastAsia" w:ascii="黑体" w:hAnsi="黑体" w:eastAsia="黑体"/>
          <w:bCs/>
          <w:color w:val="auto"/>
          <w:sz w:val="32"/>
          <w:szCs w:val="32"/>
        </w:rPr>
        <w:t>关于202</w:t>
      </w:r>
      <w:r>
        <w:rPr>
          <w:rFonts w:hint="eastAsia" w:ascii="黑体" w:hAnsi="黑体" w:eastAsia="黑体"/>
          <w:bCs/>
          <w:color w:val="auto"/>
          <w:sz w:val="32"/>
          <w:szCs w:val="32"/>
          <w:lang w:val="en-US" w:eastAsia="zh-CN"/>
        </w:rPr>
        <w:t>6</w:t>
      </w:r>
      <w:r>
        <w:rPr>
          <w:rFonts w:hint="eastAsia" w:ascii="黑体" w:hAnsi="黑体" w:eastAsia="黑体"/>
          <w:bCs/>
          <w:color w:val="auto"/>
          <w:sz w:val="32"/>
          <w:szCs w:val="32"/>
        </w:rPr>
        <w:t>年财政拨款收支总表的说明</w:t>
      </w:r>
    </w:p>
    <w:p w14:paraId="4C07976F">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年财政拨款收支总预算</w:t>
      </w:r>
      <w:r>
        <w:rPr>
          <w:rFonts w:hint="eastAsia" w:ascii="仿宋_GB2312" w:eastAsia="仿宋_GB2312"/>
          <w:sz w:val="32"/>
          <w:szCs w:val="32"/>
          <w:lang w:val="en-US" w:eastAsia="zh-CN"/>
        </w:rPr>
        <w:t>2464.59</w:t>
      </w:r>
      <w:r>
        <w:rPr>
          <w:rFonts w:hint="eastAsia" w:ascii="仿宋_GB2312" w:eastAsia="仿宋_GB2312"/>
          <w:sz w:val="32"/>
          <w:szCs w:val="32"/>
        </w:rPr>
        <w:t>万元。收入为一般公共预算拨款，无国有资本经营预算拨款，无政府性基金预算拨款,包括：一般公共预算当年拨款收入</w:t>
      </w:r>
      <w:r>
        <w:rPr>
          <w:rFonts w:hint="eastAsia" w:ascii="仿宋_GB2312" w:eastAsia="仿宋_GB2312"/>
          <w:sz w:val="32"/>
          <w:szCs w:val="32"/>
          <w:lang w:val="en-US" w:eastAsia="zh-CN"/>
        </w:rPr>
        <w:t>2369.69</w:t>
      </w:r>
      <w:r>
        <w:rPr>
          <w:rFonts w:hint="eastAsia" w:ascii="仿宋_GB2312" w:eastAsia="仿宋_GB2312"/>
          <w:sz w:val="32"/>
          <w:szCs w:val="32"/>
        </w:rPr>
        <w:t>万元，上年结转</w:t>
      </w:r>
      <w:r>
        <w:rPr>
          <w:rFonts w:hint="eastAsia" w:ascii="仿宋_GB2312" w:eastAsia="仿宋_GB2312"/>
          <w:sz w:val="32"/>
          <w:szCs w:val="32"/>
          <w:lang w:val="en-US" w:eastAsia="zh-CN"/>
        </w:rPr>
        <w:t>94.9</w:t>
      </w:r>
      <w:r>
        <w:rPr>
          <w:rFonts w:hint="eastAsia" w:ascii="仿宋_GB2312" w:eastAsia="仿宋_GB2312"/>
          <w:sz w:val="32"/>
          <w:szCs w:val="32"/>
        </w:rPr>
        <w:t>万元; 支出包括：社会保障和就业支出</w:t>
      </w:r>
      <w:r>
        <w:rPr>
          <w:rFonts w:hint="eastAsia" w:ascii="仿宋_GB2312" w:eastAsia="仿宋_GB2312"/>
          <w:sz w:val="32"/>
          <w:szCs w:val="32"/>
          <w:lang w:val="en-US" w:eastAsia="zh-CN"/>
        </w:rPr>
        <w:t>180.96</w:t>
      </w:r>
      <w:r>
        <w:rPr>
          <w:rFonts w:hint="eastAsia" w:ascii="仿宋_GB2312" w:eastAsia="仿宋_GB2312"/>
          <w:sz w:val="32"/>
          <w:szCs w:val="32"/>
        </w:rPr>
        <w:t>万元，卫生健康支出</w:t>
      </w:r>
      <w:r>
        <w:rPr>
          <w:rFonts w:hint="eastAsia" w:ascii="仿宋_GB2312" w:eastAsia="仿宋_GB2312"/>
          <w:sz w:val="32"/>
          <w:szCs w:val="32"/>
          <w:lang w:val="en-US" w:eastAsia="zh-CN"/>
        </w:rPr>
        <w:t>2173.48</w:t>
      </w:r>
      <w:r>
        <w:rPr>
          <w:rFonts w:hint="eastAsia" w:ascii="仿宋_GB2312" w:eastAsia="仿宋_GB2312"/>
          <w:sz w:val="32"/>
          <w:szCs w:val="32"/>
        </w:rPr>
        <w:t>万元，住房保障支出</w:t>
      </w:r>
      <w:r>
        <w:rPr>
          <w:rFonts w:hint="eastAsia" w:ascii="仿宋_GB2312" w:eastAsia="仿宋_GB2312"/>
          <w:sz w:val="32"/>
          <w:szCs w:val="32"/>
          <w:lang w:val="en-US" w:eastAsia="zh-CN"/>
        </w:rPr>
        <w:t>110.15</w:t>
      </w:r>
      <w:r>
        <w:rPr>
          <w:rFonts w:hint="eastAsia" w:ascii="仿宋_GB2312" w:eastAsia="仿宋_GB2312"/>
          <w:sz w:val="32"/>
          <w:szCs w:val="32"/>
        </w:rPr>
        <w:t>万元。</w:t>
      </w:r>
    </w:p>
    <w:p w14:paraId="48E3070C">
      <w:pPr>
        <w:jc w:val="center"/>
      </w:pPr>
      <w:r>
        <w:rPr>
          <w:rFonts w:hint="eastAsia" w:ascii="仿宋_GB2312" w:eastAsia="仿宋_GB2312"/>
          <w:sz w:val="32"/>
          <w:szCs w:val="32"/>
          <w:lang w:eastAsia="zh-CN"/>
        </w:rPr>
        <w:drawing>
          <wp:inline distT="0" distB="0" distL="114300" distR="114300">
            <wp:extent cx="5006975" cy="3111500"/>
            <wp:effectExtent l="4445" t="4445" r="17780" b="8255"/>
            <wp:docPr id="3" name="图表 3"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32AF9D9">
      <w:pPr>
        <w:jc w:val="center"/>
      </w:pPr>
      <w:r>
        <w:rPr>
          <w:rFonts w:hint="eastAsia" w:ascii="仿宋_GB2312" w:eastAsia="仿宋_GB2312"/>
          <w:sz w:val="32"/>
          <w:szCs w:val="32"/>
          <w:lang w:eastAsia="zh-CN"/>
        </w:rPr>
        <w:drawing>
          <wp:inline distT="0" distB="0" distL="114300" distR="114300">
            <wp:extent cx="5027295" cy="3274060"/>
            <wp:effectExtent l="4445" t="4445" r="16510" b="17145"/>
            <wp:docPr id="5" name="图表 5"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3C6CE24">
      <w:pPr>
        <w:spacing w:line="600" w:lineRule="exact"/>
        <w:ind w:firstLine="640" w:firstLineChars="200"/>
        <w:rPr>
          <w:rFonts w:hint="eastAsia" w:ascii="黑体" w:hAnsi="黑体" w:eastAsia="黑体"/>
          <w:bCs/>
          <w:sz w:val="32"/>
          <w:szCs w:val="32"/>
        </w:rPr>
      </w:pPr>
    </w:p>
    <w:p w14:paraId="2E308424">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五、关于202</w:t>
      </w:r>
      <w:r>
        <w:rPr>
          <w:rFonts w:hint="eastAsia" w:ascii="黑体" w:hAnsi="黑体" w:eastAsia="黑体"/>
          <w:bCs/>
          <w:sz w:val="32"/>
          <w:szCs w:val="32"/>
          <w:lang w:val="en-US" w:eastAsia="zh-CN"/>
        </w:rPr>
        <w:t>6</w:t>
      </w:r>
      <w:r>
        <w:rPr>
          <w:rFonts w:hint="eastAsia" w:ascii="黑体" w:hAnsi="黑体" w:eastAsia="黑体"/>
          <w:bCs/>
          <w:sz w:val="32"/>
          <w:szCs w:val="32"/>
        </w:rPr>
        <w:t>年一般公共预算支出表的说明</w:t>
      </w:r>
    </w:p>
    <w:p w14:paraId="6022941A">
      <w:pPr>
        <w:spacing w:line="600" w:lineRule="exact"/>
        <w:ind w:firstLine="643" w:firstLineChars="200"/>
        <w:rPr>
          <w:rFonts w:ascii="楷体_GB2312" w:eastAsia="楷体_GB2312"/>
          <w:b/>
          <w:color w:val="auto"/>
          <w:sz w:val="32"/>
          <w:szCs w:val="32"/>
        </w:rPr>
      </w:pPr>
      <w:r>
        <w:rPr>
          <w:rFonts w:hint="eastAsia" w:ascii="楷体_GB2312" w:eastAsia="楷体_GB2312"/>
          <w:b/>
          <w:color w:val="auto"/>
          <w:sz w:val="32"/>
          <w:szCs w:val="32"/>
        </w:rPr>
        <w:t>（一）一般公共预算当年拨款规模情况。</w:t>
      </w:r>
    </w:p>
    <w:p w14:paraId="5ABB5C83">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年一般公共预算当年拨款</w:t>
      </w:r>
      <w:r>
        <w:rPr>
          <w:rFonts w:hint="eastAsia" w:ascii="仿宋_GB2312" w:eastAsia="仿宋_GB2312"/>
          <w:sz w:val="32"/>
          <w:szCs w:val="32"/>
          <w:lang w:val="en-US" w:eastAsia="zh-CN"/>
        </w:rPr>
        <w:t>2369.69</w:t>
      </w:r>
      <w:r>
        <w:rPr>
          <w:rFonts w:hint="eastAsia" w:ascii="仿宋_GB2312" w:eastAsia="仿宋_GB2312"/>
          <w:sz w:val="32"/>
          <w:szCs w:val="32"/>
        </w:rPr>
        <w:t>万元</w:t>
      </w:r>
      <w:r>
        <w:rPr>
          <w:rFonts w:hint="eastAsia" w:ascii="仿宋_GB2312" w:eastAsia="仿宋_GB2312"/>
          <w:sz w:val="32"/>
          <w:szCs w:val="32"/>
          <w:lang w:val="en-US" w:eastAsia="zh-CN"/>
        </w:rPr>
        <w:t>,其中：人员经费795.43万元，公用经费119.70万元，项目经费1454.56万元</w:t>
      </w:r>
      <w:r>
        <w:rPr>
          <w:rFonts w:hint="eastAsia" w:ascii="仿宋_GB2312" w:eastAsia="仿宋_GB2312"/>
          <w:sz w:val="32"/>
          <w:szCs w:val="32"/>
        </w:rPr>
        <w:t>。</w:t>
      </w:r>
    </w:p>
    <w:p w14:paraId="4F87593C">
      <w:pPr>
        <w:spacing w:line="600" w:lineRule="exact"/>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6</w:t>
      </w:r>
      <w:r>
        <w:rPr>
          <w:rFonts w:hint="eastAsia" w:ascii="仿宋_GB2312" w:eastAsia="仿宋_GB2312"/>
          <w:sz w:val="32"/>
          <w:szCs w:val="32"/>
          <w:lang w:eastAsia="zh-CN"/>
        </w:rPr>
        <w:t>年一般公共预算当年拨款规模明细</w:t>
      </w:r>
    </w:p>
    <w:p w14:paraId="7F96E860">
      <w:pPr>
        <w:spacing w:line="240" w:lineRule="auto"/>
        <w:ind w:firstLine="0" w:firstLineChars="0"/>
        <w:jc w:val="center"/>
        <w:rPr>
          <w:rFonts w:hint="eastAsia" w:ascii="仿宋_GB2312" w:eastAsia="仿宋_GB2312"/>
          <w:sz w:val="32"/>
          <w:szCs w:val="32"/>
        </w:rPr>
      </w:pPr>
      <w:r>
        <w:rPr>
          <w:rFonts w:hint="eastAsia" w:ascii="仿宋_GB2312" w:eastAsia="仿宋_GB2312"/>
          <w:sz w:val="32"/>
          <w:szCs w:val="32"/>
          <w:lang w:eastAsia="zh-CN"/>
        </w:rPr>
        <w:drawing>
          <wp:inline distT="0" distB="0" distL="114300" distR="114300">
            <wp:extent cx="5067300" cy="2673350"/>
            <wp:effectExtent l="4445" t="4445" r="14605" b="8255"/>
            <wp:docPr id="6" name="图表 6"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D2D662E">
      <w:pPr>
        <w:spacing w:line="600" w:lineRule="exact"/>
        <w:ind w:firstLine="643" w:firstLineChars="200"/>
        <w:rPr>
          <w:rFonts w:ascii="楷体_GB2312" w:eastAsia="楷体_GB2312"/>
          <w:b/>
          <w:color w:val="auto"/>
          <w:sz w:val="32"/>
          <w:szCs w:val="32"/>
        </w:rPr>
      </w:pPr>
      <w:r>
        <w:rPr>
          <w:rFonts w:hint="eastAsia" w:ascii="楷体_GB2312" w:eastAsia="楷体_GB2312"/>
          <w:b/>
          <w:color w:val="auto"/>
          <w:sz w:val="32"/>
          <w:szCs w:val="32"/>
        </w:rPr>
        <w:t>（二）一般公共预算当年拨款支出结构情况。</w:t>
      </w:r>
    </w:p>
    <w:p w14:paraId="1A3B0442">
      <w:pPr>
        <w:spacing w:line="600" w:lineRule="exact"/>
        <w:ind w:firstLine="640" w:firstLineChars="200"/>
        <w:rPr>
          <w:rFonts w:hint="eastAsia" w:ascii="楷体_GB2312" w:eastAsia="楷体_GB2312"/>
          <w:b/>
          <w:color w:val="auto"/>
          <w:sz w:val="32"/>
          <w:szCs w:val="32"/>
        </w:rPr>
      </w:pPr>
      <w:r>
        <w:rPr>
          <w:rFonts w:hint="eastAsia" w:ascii="仿宋_GB2312" w:eastAsia="仿宋_GB2312"/>
          <w:sz w:val="32"/>
          <w:szCs w:val="32"/>
          <w:lang w:eastAsia="zh-CN"/>
        </w:rPr>
        <w:drawing>
          <wp:anchor distT="0" distB="0" distL="114300" distR="114300" simplePos="0" relativeHeight="251659264" behindDoc="0" locked="0" layoutInCell="1" allowOverlap="1">
            <wp:simplePos x="0" y="0"/>
            <wp:positionH relativeFrom="column">
              <wp:posOffset>294005</wp:posOffset>
            </wp:positionH>
            <wp:positionV relativeFrom="paragraph">
              <wp:posOffset>808355</wp:posOffset>
            </wp:positionV>
            <wp:extent cx="5030470" cy="2618740"/>
            <wp:effectExtent l="4445" t="4445" r="13335" b="5715"/>
            <wp:wrapTopAndBottom/>
            <wp:docPr id="7" name="图表 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Pr>
          <w:rFonts w:hint="eastAsia" w:ascii="仿宋_GB2312" w:eastAsia="仿宋_GB2312"/>
          <w:sz w:val="32"/>
          <w:szCs w:val="32"/>
        </w:rPr>
        <w:t>社会保障和就业支出</w:t>
      </w:r>
      <w:r>
        <w:rPr>
          <w:rFonts w:hint="eastAsia" w:ascii="仿宋_GB2312" w:eastAsia="仿宋_GB2312"/>
          <w:sz w:val="32"/>
          <w:szCs w:val="32"/>
          <w:lang w:val="en-US" w:eastAsia="zh-CN"/>
        </w:rPr>
        <w:t>159.73</w:t>
      </w:r>
      <w:r>
        <w:rPr>
          <w:rFonts w:hint="eastAsia" w:ascii="仿宋_GB2312" w:eastAsia="仿宋_GB2312"/>
          <w:sz w:val="32"/>
          <w:szCs w:val="32"/>
        </w:rPr>
        <w:t>万元，占</w:t>
      </w:r>
      <w:r>
        <w:rPr>
          <w:rFonts w:hint="eastAsia" w:ascii="仿宋_GB2312" w:eastAsia="仿宋_GB2312"/>
          <w:sz w:val="32"/>
          <w:szCs w:val="32"/>
          <w:lang w:val="en-US" w:eastAsia="zh-CN"/>
        </w:rPr>
        <w:t>6.74</w:t>
      </w:r>
      <w:r>
        <w:rPr>
          <w:rFonts w:hint="eastAsia" w:ascii="仿宋_GB2312" w:eastAsia="仿宋_GB2312"/>
          <w:sz w:val="32"/>
          <w:szCs w:val="32"/>
        </w:rPr>
        <w:t>%；卫生健康支出</w:t>
      </w:r>
      <w:r>
        <w:rPr>
          <w:rFonts w:hint="eastAsia" w:ascii="仿宋_GB2312" w:eastAsia="仿宋_GB2312"/>
          <w:sz w:val="32"/>
          <w:szCs w:val="32"/>
          <w:lang w:val="en-US" w:eastAsia="zh-CN"/>
        </w:rPr>
        <w:t>2104.5</w:t>
      </w:r>
      <w:r>
        <w:rPr>
          <w:rFonts w:hint="eastAsia" w:ascii="仿宋_GB2312" w:eastAsia="仿宋_GB2312"/>
          <w:sz w:val="32"/>
          <w:szCs w:val="32"/>
        </w:rPr>
        <w:t>万元，占</w:t>
      </w:r>
      <w:r>
        <w:rPr>
          <w:rFonts w:hint="eastAsia" w:ascii="仿宋_GB2312" w:eastAsia="仿宋_GB2312"/>
          <w:sz w:val="32"/>
          <w:szCs w:val="32"/>
          <w:lang w:val="en-US" w:eastAsia="zh-CN"/>
        </w:rPr>
        <w:t>88.81</w:t>
      </w:r>
      <w:r>
        <w:rPr>
          <w:rFonts w:hint="eastAsia" w:ascii="仿宋_GB2312" w:eastAsia="仿宋_GB2312"/>
          <w:sz w:val="32"/>
          <w:szCs w:val="32"/>
        </w:rPr>
        <w:t>%；住房保障支出</w:t>
      </w:r>
      <w:r>
        <w:rPr>
          <w:rFonts w:hint="eastAsia" w:ascii="仿宋_GB2312" w:eastAsia="仿宋_GB2312"/>
          <w:sz w:val="32"/>
          <w:szCs w:val="32"/>
          <w:lang w:val="en-US" w:eastAsia="zh-CN"/>
        </w:rPr>
        <w:t>105.46</w:t>
      </w:r>
      <w:r>
        <w:rPr>
          <w:rFonts w:hint="eastAsia" w:ascii="仿宋_GB2312" w:eastAsia="仿宋_GB2312"/>
          <w:sz w:val="32"/>
          <w:szCs w:val="32"/>
        </w:rPr>
        <w:t>万元，占</w:t>
      </w:r>
      <w:r>
        <w:rPr>
          <w:rFonts w:hint="eastAsia" w:ascii="仿宋_GB2312" w:eastAsia="仿宋_GB2312"/>
          <w:sz w:val="32"/>
          <w:szCs w:val="32"/>
          <w:lang w:val="en-US" w:eastAsia="zh-CN"/>
        </w:rPr>
        <w:t>4.45</w:t>
      </w:r>
      <w:r>
        <w:rPr>
          <w:rFonts w:hint="eastAsia" w:ascii="仿宋_GB2312" w:eastAsia="仿宋_GB2312"/>
          <w:sz w:val="32"/>
          <w:szCs w:val="32"/>
        </w:rPr>
        <w:t>%。</w:t>
      </w:r>
    </w:p>
    <w:p w14:paraId="251EBF9A">
      <w:pPr>
        <w:spacing w:line="600" w:lineRule="exact"/>
        <w:ind w:firstLine="643" w:firstLineChars="200"/>
        <w:rPr>
          <w:rFonts w:ascii="楷体_GB2312" w:eastAsia="楷体_GB2312"/>
          <w:b/>
          <w:color w:val="auto"/>
          <w:sz w:val="32"/>
          <w:szCs w:val="32"/>
        </w:rPr>
      </w:pPr>
      <w:r>
        <w:rPr>
          <w:rFonts w:hint="eastAsia" w:ascii="楷体_GB2312" w:eastAsia="楷体_GB2312"/>
          <w:b/>
          <w:color w:val="auto"/>
          <w:sz w:val="32"/>
          <w:szCs w:val="32"/>
        </w:rPr>
        <w:t>(三)一般公共预算当年拨款具体情况。</w:t>
      </w:r>
    </w:p>
    <w:p w14:paraId="560E3AD1">
      <w:pPr>
        <w:spacing w:line="600" w:lineRule="exact"/>
        <w:ind w:firstLine="640" w:firstLineChars="200"/>
        <w:rPr>
          <w:rFonts w:ascii="仿宋_GB2312" w:eastAsia="仿宋_GB2312"/>
          <w:sz w:val="32"/>
          <w:szCs w:val="32"/>
        </w:rPr>
      </w:pPr>
      <w:r>
        <w:rPr>
          <w:rFonts w:hint="eastAsia" w:ascii="仿宋_GB2312" w:eastAsia="仿宋_GB2312"/>
          <w:sz w:val="32"/>
          <w:szCs w:val="32"/>
        </w:rPr>
        <w:t>1.社会保障和就业支出（类）行政事业单位养老支出（款）机关事业单位基本养老保险缴费支出（项）202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95.03</w:t>
      </w:r>
      <w:r>
        <w:rPr>
          <w:rFonts w:hint="eastAsia" w:ascii="仿宋_GB2312" w:eastAsia="仿宋_GB2312"/>
          <w:sz w:val="32"/>
          <w:szCs w:val="32"/>
        </w:rPr>
        <w:t>万元。</w:t>
      </w:r>
    </w:p>
    <w:p w14:paraId="70A2221D">
      <w:pPr>
        <w:spacing w:line="600" w:lineRule="exact"/>
        <w:ind w:firstLine="640" w:firstLineChars="200"/>
        <w:rPr>
          <w:rFonts w:ascii="仿宋_GB2312" w:eastAsia="仿宋_GB2312"/>
          <w:sz w:val="32"/>
          <w:szCs w:val="32"/>
        </w:rPr>
      </w:pPr>
      <w:r>
        <w:rPr>
          <w:rFonts w:hint="eastAsia" w:ascii="仿宋_GB2312" w:eastAsia="仿宋_GB2312"/>
          <w:sz w:val="32"/>
          <w:szCs w:val="32"/>
        </w:rPr>
        <w:t>2.社会保障和就业支出（类）行政事业单位养老支出（款）机关事业单位职业年金缴费支出（项）202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54.33</w:t>
      </w:r>
      <w:r>
        <w:rPr>
          <w:rFonts w:hint="eastAsia" w:ascii="仿宋_GB2312" w:eastAsia="仿宋_GB2312"/>
          <w:sz w:val="32"/>
          <w:szCs w:val="32"/>
        </w:rPr>
        <w:t>万元。</w:t>
      </w:r>
    </w:p>
    <w:p w14:paraId="6321F62E">
      <w:pPr>
        <w:spacing w:line="600" w:lineRule="exact"/>
        <w:ind w:firstLine="640" w:firstLineChars="200"/>
        <w:rPr>
          <w:rFonts w:hint="default" w:ascii="仿宋_GB2312" w:eastAsia="仿宋_GB2312"/>
          <w:color w:val="000000"/>
          <w:sz w:val="32"/>
          <w:szCs w:val="32"/>
          <w:lang w:val="en-US" w:eastAsia="zh-CN"/>
        </w:rPr>
      </w:pPr>
      <w:r>
        <w:rPr>
          <w:rFonts w:hint="eastAsia" w:ascii="仿宋_GB2312" w:eastAsia="仿宋_GB2312"/>
          <w:sz w:val="32"/>
          <w:szCs w:val="32"/>
        </w:rPr>
        <w:t>3.卫生健康支出</w:t>
      </w:r>
      <w:r>
        <w:rPr>
          <w:rFonts w:hint="eastAsia" w:ascii="仿宋_GB2312" w:eastAsia="仿宋_GB2312"/>
          <w:color w:val="000000"/>
          <w:sz w:val="32"/>
          <w:szCs w:val="32"/>
        </w:rPr>
        <w:t>(类)</w:t>
      </w:r>
      <w:r>
        <w:rPr>
          <w:rFonts w:hint="eastAsia" w:ascii="仿宋_GB2312" w:eastAsia="仿宋_GB2312"/>
          <w:color w:val="000000"/>
          <w:sz w:val="32"/>
          <w:szCs w:val="32"/>
          <w:lang w:eastAsia="zh-CN"/>
        </w:rPr>
        <w:t>中医药</w:t>
      </w:r>
      <w:r>
        <w:rPr>
          <w:rFonts w:hint="eastAsia" w:ascii="仿宋_GB2312" w:eastAsia="仿宋_GB2312"/>
          <w:color w:val="000000"/>
          <w:sz w:val="32"/>
          <w:szCs w:val="32"/>
          <w:lang w:val="en-US" w:eastAsia="zh-CN"/>
        </w:rPr>
        <w:t>事务（款）事业运行（项）</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color w:val="000000"/>
          <w:sz w:val="32"/>
          <w:szCs w:val="32"/>
          <w:lang w:val="en-US" w:eastAsia="zh-CN"/>
        </w:rPr>
        <w:t>649.94万元</w:t>
      </w:r>
    </w:p>
    <w:p w14:paraId="25F171B9">
      <w:pPr>
        <w:spacing w:line="600" w:lineRule="exact"/>
        <w:ind w:firstLine="640" w:firstLineChars="200"/>
        <w:rPr>
          <w:rFonts w:ascii="仿宋_GB2312" w:eastAsia="仿宋_GB2312"/>
          <w:sz w:val="32"/>
          <w:szCs w:val="32"/>
        </w:rPr>
      </w:pPr>
      <w:r>
        <w:rPr>
          <w:rFonts w:hint="eastAsia" w:ascii="仿宋_GB2312" w:eastAsia="仿宋_GB2312"/>
          <w:sz w:val="32"/>
          <w:szCs w:val="32"/>
        </w:rPr>
        <w:t>4.卫生健康支出</w:t>
      </w:r>
      <w:r>
        <w:rPr>
          <w:rFonts w:hint="eastAsia" w:ascii="仿宋_GB2312" w:eastAsia="仿宋_GB2312"/>
          <w:color w:val="000000"/>
          <w:sz w:val="32"/>
          <w:szCs w:val="32"/>
        </w:rPr>
        <w:t>(类)</w:t>
      </w:r>
      <w:r>
        <w:rPr>
          <w:rFonts w:hint="eastAsia" w:ascii="仿宋_GB2312" w:eastAsia="仿宋_GB2312"/>
          <w:color w:val="000000"/>
          <w:sz w:val="32"/>
          <w:szCs w:val="32"/>
          <w:lang w:eastAsia="zh-CN"/>
        </w:rPr>
        <w:t>中医药</w:t>
      </w:r>
      <w:r>
        <w:rPr>
          <w:rFonts w:hint="eastAsia" w:ascii="仿宋_GB2312" w:eastAsia="仿宋_GB2312"/>
          <w:color w:val="000000"/>
          <w:sz w:val="32"/>
          <w:szCs w:val="32"/>
          <w:lang w:val="en-US" w:eastAsia="zh-CN"/>
        </w:rPr>
        <w:t>事务（款）其他中医药事务支出（项）</w:t>
      </w:r>
      <w:r>
        <w:rPr>
          <w:rFonts w:hint="eastAsia" w:ascii="仿宋_GB2312" w:eastAsia="仿宋_GB2312"/>
          <w:color w:val="FF0000"/>
          <w:sz w:val="32"/>
          <w:szCs w:val="32"/>
        </w:rPr>
        <w:t xml:space="preserve"> </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1454.56</w:t>
      </w:r>
      <w:r>
        <w:rPr>
          <w:rFonts w:hint="eastAsia" w:ascii="仿宋_GB2312" w:eastAsia="仿宋_GB2312"/>
          <w:sz w:val="32"/>
          <w:szCs w:val="32"/>
        </w:rPr>
        <w:t>万元。</w:t>
      </w:r>
    </w:p>
    <w:p w14:paraId="47F8CEA9">
      <w:pPr>
        <w:spacing w:line="600" w:lineRule="exact"/>
        <w:ind w:firstLine="640" w:firstLineChars="200"/>
        <w:rPr>
          <w:rFonts w:ascii="仿宋_GB2312" w:eastAsia="仿宋_GB2312"/>
          <w:sz w:val="32"/>
          <w:szCs w:val="32"/>
        </w:rPr>
      </w:pPr>
      <w:r>
        <w:rPr>
          <w:rFonts w:hint="eastAsia" w:ascii="仿宋_GB2312" w:eastAsia="仿宋_GB2312"/>
          <w:sz w:val="32"/>
          <w:szCs w:val="32"/>
        </w:rPr>
        <w:t>5.住房保障支出(类)住房改革支出(款)住房公积金(项)202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67.66</w:t>
      </w:r>
      <w:r>
        <w:rPr>
          <w:rFonts w:hint="eastAsia" w:ascii="仿宋_GB2312" w:eastAsia="仿宋_GB2312"/>
          <w:sz w:val="32"/>
          <w:szCs w:val="32"/>
        </w:rPr>
        <w:t>万元。</w:t>
      </w:r>
    </w:p>
    <w:p w14:paraId="656CB561">
      <w:pPr>
        <w:spacing w:line="600" w:lineRule="exact"/>
        <w:ind w:firstLine="640" w:firstLineChars="200"/>
        <w:rPr>
          <w:rFonts w:ascii="仿宋_GB2312" w:eastAsia="仿宋_GB2312"/>
          <w:sz w:val="32"/>
          <w:szCs w:val="32"/>
        </w:rPr>
      </w:pPr>
      <w:r>
        <w:rPr>
          <w:rFonts w:hint="eastAsia" w:ascii="仿宋_GB2312" w:eastAsia="仿宋_GB2312"/>
          <w:sz w:val="32"/>
          <w:szCs w:val="32"/>
        </w:rPr>
        <w:t>6.住房保障支出(类)住房改革支出(款)提租补贴(项)202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3.56</w:t>
      </w:r>
      <w:r>
        <w:rPr>
          <w:rFonts w:hint="eastAsia" w:ascii="仿宋_GB2312" w:eastAsia="仿宋_GB2312"/>
          <w:sz w:val="32"/>
          <w:szCs w:val="32"/>
        </w:rPr>
        <w:t>万元。</w:t>
      </w:r>
    </w:p>
    <w:p w14:paraId="5032F8B1">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7.</w:t>
      </w:r>
      <w:r>
        <w:rPr>
          <w:rFonts w:hint="eastAsia" w:ascii="仿宋_GB2312" w:eastAsia="仿宋_GB2312"/>
          <w:sz w:val="32"/>
          <w:szCs w:val="32"/>
        </w:rPr>
        <w:t>住房保障支出(类)住房改革支出(款)购房补贴(项)202</w:t>
      </w:r>
      <w:r>
        <w:rPr>
          <w:rFonts w:hint="eastAsia" w:ascii="仿宋_GB2312" w:eastAsia="仿宋_GB2312"/>
          <w:sz w:val="32"/>
          <w:szCs w:val="32"/>
          <w:lang w:val="en-US" w:eastAsia="zh-CN"/>
        </w:rPr>
        <w:t>6</w:t>
      </w:r>
      <w:r>
        <w:rPr>
          <w:rFonts w:hint="eastAsia" w:ascii="仿宋_GB2312" w:eastAsia="仿宋_GB2312"/>
          <w:sz w:val="32"/>
          <w:szCs w:val="32"/>
        </w:rPr>
        <w:t>年年初预算数为</w:t>
      </w:r>
      <w:r>
        <w:rPr>
          <w:rFonts w:hint="eastAsia" w:ascii="仿宋_GB2312" w:eastAsia="仿宋_GB2312"/>
          <w:sz w:val="32"/>
          <w:szCs w:val="32"/>
          <w:lang w:val="en-US" w:eastAsia="zh-CN"/>
        </w:rPr>
        <w:t>34.24</w:t>
      </w:r>
      <w:r>
        <w:rPr>
          <w:rFonts w:hint="eastAsia" w:ascii="仿宋_GB2312" w:eastAsia="仿宋_GB2312"/>
          <w:sz w:val="32"/>
          <w:szCs w:val="32"/>
        </w:rPr>
        <w:t>万元。</w:t>
      </w:r>
    </w:p>
    <w:p w14:paraId="20575369">
      <w:pPr>
        <w:spacing w:line="240" w:lineRule="auto"/>
        <w:ind w:firstLine="0" w:firstLineChars="0"/>
        <w:jc w:val="center"/>
        <w:rPr>
          <w:rFonts w:ascii="仿宋_GB2312" w:eastAsia="仿宋_GB2312"/>
          <w:sz w:val="32"/>
          <w:szCs w:val="32"/>
        </w:rPr>
      </w:pPr>
      <w:r>
        <w:rPr>
          <w:rFonts w:hint="eastAsia" w:ascii="仿宋_GB2312" w:eastAsia="仿宋_GB2312"/>
          <w:sz w:val="32"/>
          <w:szCs w:val="32"/>
          <w:lang w:eastAsia="zh-CN"/>
        </w:rPr>
        <w:drawing>
          <wp:inline distT="0" distB="0" distL="114300" distR="114300">
            <wp:extent cx="5542915" cy="2921000"/>
            <wp:effectExtent l="4445" t="4445" r="15240" b="8255"/>
            <wp:docPr id="8" name="图表 8"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CDC1462">
      <w:pPr>
        <w:spacing w:line="600" w:lineRule="exact"/>
        <w:ind w:firstLine="640" w:firstLineChars="200"/>
        <w:rPr>
          <w:rFonts w:ascii="黑体" w:hAnsi="黑体" w:eastAsia="黑体"/>
          <w:bCs/>
          <w:sz w:val="32"/>
          <w:szCs w:val="32"/>
        </w:rPr>
      </w:pPr>
      <w:r>
        <w:rPr>
          <w:rFonts w:hint="eastAsia" w:ascii="黑体" w:hAnsi="黑体" w:eastAsia="黑体"/>
          <w:bCs/>
          <w:sz w:val="32"/>
          <w:szCs w:val="32"/>
        </w:rPr>
        <w:t>六、关于202</w:t>
      </w:r>
      <w:r>
        <w:rPr>
          <w:rFonts w:hint="eastAsia" w:ascii="黑体" w:hAnsi="黑体" w:eastAsia="黑体"/>
          <w:bCs/>
          <w:sz w:val="32"/>
          <w:szCs w:val="32"/>
          <w:lang w:val="en-US" w:eastAsia="zh-CN"/>
        </w:rPr>
        <w:t>6</w:t>
      </w:r>
      <w:r>
        <w:rPr>
          <w:rFonts w:hint="eastAsia" w:ascii="黑体" w:hAnsi="黑体" w:eastAsia="黑体"/>
          <w:bCs/>
          <w:sz w:val="32"/>
          <w:szCs w:val="32"/>
        </w:rPr>
        <w:t>年政府性基金预算支出情况的说明</w:t>
      </w:r>
    </w:p>
    <w:p w14:paraId="51C3EFE9">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年无政府性基金预算支出。</w:t>
      </w:r>
    </w:p>
    <w:p w14:paraId="36838C4A">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七、关于202</w:t>
      </w:r>
      <w:r>
        <w:rPr>
          <w:rFonts w:hint="eastAsia" w:ascii="黑体" w:hAnsi="黑体" w:eastAsia="黑体"/>
          <w:bCs/>
          <w:sz w:val="32"/>
          <w:szCs w:val="32"/>
          <w:lang w:val="en-US" w:eastAsia="zh-CN"/>
        </w:rPr>
        <w:t>6</w:t>
      </w:r>
      <w:r>
        <w:rPr>
          <w:rFonts w:hint="eastAsia" w:ascii="黑体" w:hAnsi="黑体" w:eastAsia="黑体"/>
          <w:bCs/>
          <w:sz w:val="32"/>
          <w:szCs w:val="32"/>
        </w:rPr>
        <w:t>年国有资本经营预算支出情况的说明</w:t>
      </w:r>
    </w:p>
    <w:p w14:paraId="439D31A6">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年无国有资本经营预算支出。</w:t>
      </w:r>
    </w:p>
    <w:p w14:paraId="57F62E83">
      <w:pPr>
        <w:spacing w:line="600" w:lineRule="exact"/>
        <w:ind w:firstLine="640" w:firstLineChars="200"/>
        <w:rPr>
          <w:rFonts w:ascii="黑体" w:hAnsi="黑体" w:eastAsia="黑体"/>
          <w:bCs/>
          <w:sz w:val="32"/>
          <w:szCs w:val="32"/>
        </w:rPr>
      </w:pPr>
      <w:r>
        <w:rPr>
          <w:rFonts w:hint="eastAsia" w:ascii="黑体" w:hAnsi="黑体" w:eastAsia="黑体"/>
          <w:bCs/>
          <w:sz w:val="32"/>
          <w:szCs w:val="32"/>
        </w:rPr>
        <w:t>八、关于202</w:t>
      </w:r>
      <w:r>
        <w:rPr>
          <w:rFonts w:hint="eastAsia" w:ascii="黑体" w:hAnsi="黑体" w:eastAsia="黑体"/>
          <w:bCs/>
          <w:sz w:val="32"/>
          <w:szCs w:val="32"/>
          <w:lang w:val="en-US" w:eastAsia="zh-CN"/>
        </w:rPr>
        <w:t>6</w:t>
      </w:r>
      <w:r>
        <w:rPr>
          <w:rFonts w:hint="eastAsia" w:ascii="黑体" w:hAnsi="黑体" w:eastAsia="黑体"/>
          <w:bCs/>
          <w:sz w:val="32"/>
          <w:szCs w:val="32"/>
        </w:rPr>
        <w:t>年一般公共预算基本支出表的说明</w:t>
      </w:r>
    </w:p>
    <w:p w14:paraId="43DA1FAF">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年一般公共预算基本支出</w:t>
      </w:r>
      <w:r>
        <w:rPr>
          <w:rFonts w:hint="eastAsia" w:ascii="仿宋_GB2312" w:eastAsia="仿宋_GB2312"/>
          <w:sz w:val="32"/>
          <w:szCs w:val="32"/>
          <w:lang w:val="en-US" w:eastAsia="zh-CN"/>
        </w:rPr>
        <w:t>915.13</w:t>
      </w:r>
      <w:r>
        <w:rPr>
          <w:rFonts w:hint="eastAsia" w:ascii="仿宋_GB2312" w:eastAsia="仿宋_GB2312"/>
          <w:sz w:val="32"/>
          <w:szCs w:val="32"/>
        </w:rPr>
        <w:t>万元，其中，人员经费</w:t>
      </w:r>
      <w:r>
        <w:rPr>
          <w:rFonts w:hint="eastAsia" w:ascii="仿宋_GB2312" w:eastAsia="仿宋_GB2312"/>
          <w:sz w:val="32"/>
          <w:szCs w:val="32"/>
          <w:lang w:val="en-US" w:eastAsia="zh-CN"/>
        </w:rPr>
        <w:t>795.43</w:t>
      </w:r>
      <w:r>
        <w:rPr>
          <w:rFonts w:hint="eastAsia" w:ascii="仿宋_GB2312" w:eastAsia="仿宋_GB2312"/>
          <w:sz w:val="32"/>
          <w:szCs w:val="32"/>
        </w:rPr>
        <w:t>万元，主要包括：基本工资、津贴补贴、绩效工资、机关事业单位基本养老保险缴费、职业年金缴费、住房公积金</w:t>
      </w:r>
      <w:r>
        <w:rPr>
          <w:rFonts w:hint="eastAsia" w:ascii="仿宋_GB2312" w:eastAsia="仿宋_GB2312"/>
          <w:sz w:val="32"/>
          <w:szCs w:val="32"/>
          <w:lang w:eastAsia="zh-CN"/>
        </w:rPr>
        <w:t>、</w:t>
      </w:r>
      <w:r>
        <w:rPr>
          <w:rFonts w:hint="eastAsia" w:ascii="仿宋_GB2312" w:eastAsia="仿宋_GB2312"/>
          <w:sz w:val="32"/>
          <w:szCs w:val="32"/>
          <w:lang w:val="en-US" w:eastAsia="zh-CN"/>
        </w:rPr>
        <w:t>退休费等。</w:t>
      </w:r>
    </w:p>
    <w:p w14:paraId="216AF551">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公用经费</w:t>
      </w:r>
      <w:r>
        <w:rPr>
          <w:rFonts w:hint="eastAsia" w:ascii="仿宋_GB2312" w:eastAsia="仿宋_GB2312"/>
          <w:sz w:val="32"/>
          <w:szCs w:val="32"/>
          <w:lang w:val="en-US" w:eastAsia="zh-CN"/>
        </w:rPr>
        <w:t>119.70万元</w:t>
      </w:r>
      <w:r>
        <w:rPr>
          <w:rFonts w:hint="eastAsia" w:ascii="仿宋_GB2312" w:eastAsia="仿宋_GB2312"/>
          <w:sz w:val="32"/>
          <w:szCs w:val="32"/>
        </w:rPr>
        <w:t>万元，主要包括：办公费、</w:t>
      </w:r>
      <w:r>
        <w:rPr>
          <w:rFonts w:hint="eastAsia" w:ascii="仿宋_GB2312" w:eastAsia="仿宋_GB2312"/>
          <w:sz w:val="32"/>
          <w:szCs w:val="32"/>
          <w:lang w:val="en-US" w:eastAsia="zh-CN"/>
        </w:rPr>
        <w:t>印刷费、</w:t>
      </w:r>
      <w:r>
        <w:rPr>
          <w:rFonts w:hint="eastAsia" w:ascii="仿宋_GB2312" w:eastAsia="仿宋_GB2312"/>
          <w:sz w:val="32"/>
          <w:szCs w:val="32"/>
        </w:rPr>
        <w:t>电费、</w:t>
      </w:r>
      <w:r>
        <w:rPr>
          <w:rFonts w:hint="eastAsia" w:ascii="仿宋_GB2312" w:eastAsia="仿宋_GB2312"/>
          <w:sz w:val="32"/>
          <w:szCs w:val="32"/>
          <w:lang w:val="en-US" w:eastAsia="zh-CN"/>
        </w:rPr>
        <w:t>差旅费、维修（护）费、</w:t>
      </w:r>
      <w:r>
        <w:rPr>
          <w:rFonts w:hint="eastAsia" w:ascii="仿宋_GB2312" w:eastAsia="仿宋_GB2312"/>
          <w:sz w:val="32"/>
          <w:szCs w:val="32"/>
          <w:lang w:eastAsia="zh-CN"/>
        </w:rPr>
        <w:t>邮电费、培训费、劳务费、</w:t>
      </w:r>
      <w:r>
        <w:rPr>
          <w:rFonts w:hint="eastAsia" w:ascii="仿宋_GB2312" w:eastAsia="仿宋_GB2312"/>
          <w:sz w:val="32"/>
          <w:szCs w:val="32"/>
        </w:rPr>
        <w:t>工会经费、其他商品和服务支出</w:t>
      </w:r>
      <w:r>
        <w:rPr>
          <w:rFonts w:hint="eastAsia" w:ascii="仿宋_GB2312" w:eastAsia="仿宋_GB2312"/>
          <w:sz w:val="32"/>
          <w:szCs w:val="32"/>
          <w:lang w:eastAsia="zh-CN"/>
        </w:rPr>
        <w:t>等</w:t>
      </w:r>
      <w:r>
        <w:rPr>
          <w:rFonts w:hint="eastAsia" w:ascii="仿宋_GB2312" w:eastAsia="仿宋_GB2312"/>
          <w:sz w:val="32"/>
          <w:szCs w:val="32"/>
        </w:rPr>
        <w:t>。</w:t>
      </w:r>
    </w:p>
    <w:p w14:paraId="10A3CA90">
      <w:pPr>
        <w:spacing w:line="240" w:lineRule="auto"/>
        <w:ind w:firstLine="420" w:firstLineChars="200"/>
      </w:pPr>
    </w:p>
    <w:p w14:paraId="0EB928FB">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九、关于202</w:t>
      </w:r>
      <w:r>
        <w:rPr>
          <w:rFonts w:hint="eastAsia" w:ascii="黑体" w:hAnsi="黑体" w:eastAsia="黑体"/>
          <w:bCs/>
          <w:sz w:val="32"/>
          <w:szCs w:val="32"/>
          <w:lang w:val="en-US" w:eastAsia="zh-CN"/>
        </w:rPr>
        <w:t>6</w:t>
      </w:r>
      <w:r>
        <w:rPr>
          <w:rFonts w:hint="eastAsia" w:ascii="黑体" w:hAnsi="黑体" w:eastAsia="黑体"/>
          <w:bCs/>
          <w:sz w:val="32"/>
          <w:szCs w:val="32"/>
        </w:rPr>
        <w:t>年财政拨款预算“三公”经费支出表的说明</w:t>
      </w:r>
    </w:p>
    <w:p w14:paraId="439DCDEC">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年无“三公”经费预算。</w:t>
      </w:r>
    </w:p>
    <w:p w14:paraId="77CD2116">
      <w:pPr>
        <w:spacing w:line="600" w:lineRule="exact"/>
        <w:ind w:firstLine="640" w:firstLineChars="200"/>
        <w:rPr>
          <w:rFonts w:ascii="黑体" w:hAnsi="黑体" w:eastAsia="黑体"/>
          <w:bCs/>
          <w:sz w:val="32"/>
          <w:szCs w:val="32"/>
        </w:rPr>
      </w:pPr>
      <w:r>
        <w:rPr>
          <w:rFonts w:hint="eastAsia" w:ascii="黑体" w:hAnsi="黑体" w:eastAsia="黑体"/>
          <w:bCs/>
          <w:sz w:val="32"/>
          <w:szCs w:val="32"/>
        </w:rPr>
        <w:t>十、关于202</w:t>
      </w:r>
      <w:r>
        <w:rPr>
          <w:rFonts w:hint="eastAsia" w:ascii="黑体" w:hAnsi="黑体" w:eastAsia="黑体"/>
          <w:bCs/>
          <w:sz w:val="32"/>
          <w:szCs w:val="32"/>
          <w:lang w:val="en-US" w:eastAsia="zh-CN"/>
        </w:rPr>
        <w:t>6</w:t>
      </w:r>
      <w:r>
        <w:rPr>
          <w:rFonts w:hint="eastAsia" w:ascii="黑体" w:hAnsi="黑体" w:eastAsia="黑体"/>
          <w:bCs/>
          <w:sz w:val="32"/>
          <w:szCs w:val="32"/>
        </w:rPr>
        <w:t>年其他重要事项情况说明</w:t>
      </w:r>
    </w:p>
    <w:p w14:paraId="0A4ECA3A">
      <w:pPr>
        <w:spacing w:line="600" w:lineRule="exact"/>
        <w:ind w:firstLine="643" w:firstLineChars="200"/>
        <w:rPr>
          <w:rFonts w:hint="default" w:ascii="楷体_GB2312" w:eastAsia="楷体_GB2312"/>
          <w:b/>
          <w:sz w:val="32"/>
          <w:szCs w:val="32"/>
          <w:lang w:val="en-US" w:eastAsia="zh-CN"/>
        </w:rPr>
      </w:pPr>
      <w:r>
        <w:rPr>
          <w:rFonts w:hint="eastAsia" w:ascii="楷体_GB2312" w:eastAsia="楷体_GB2312"/>
          <w:b/>
          <w:sz w:val="32"/>
          <w:szCs w:val="32"/>
        </w:rPr>
        <w:t>（一）政府采购情况说明。</w:t>
      </w:r>
    </w:p>
    <w:p w14:paraId="7EFE2BF7">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2026年无政府采购经费预算</w:t>
      </w:r>
      <w:r>
        <w:rPr>
          <w:rFonts w:hint="eastAsia" w:ascii="仿宋_GB2312" w:eastAsia="仿宋_GB2312"/>
          <w:color w:val="000000" w:themeColor="text1"/>
          <w:sz w:val="32"/>
          <w:szCs w:val="32"/>
          <w14:textFill>
            <w14:solidFill>
              <w14:schemeClr w14:val="tx1"/>
            </w14:solidFill>
          </w14:textFill>
        </w:rPr>
        <w:t>。</w:t>
      </w:r>
    </w:p>
    <w:p w14:paraId="7D2D00A9">
      <w:pPr>
        <w:spacing w:line="600" w:lineRule="exact"/>
        <w:ind w:firstLine="643" w:firstLineChars="200"/>
        <w:rPr>
          <w:rFonts w:ascii="楷体_GB2312" w:eastAsia="楷体_GB2312"/>
          <w:b/>
          <w:sz w:val="32"/>
          <w:szCs w:val="32"/>
        </w:rPr>
      </w:pPr>
      <w:r>
        <w:rPr>
          <w:rFonts w:hint="eastAsia" w:ascii="楷体_GB2312" w:eastAsia="楷体_GB2312"/>
          <w:b/>
          <w:sz w:val="32"/>
          <w:szCs w:val="32"/>
        </w:rPr>
        <w:t>（二）国有资产占有使用情况说明。</w:t>
      </w:r>
    </w:p>
    <w:p w14:paraId="06E51FC0">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年财政预算</w:t>
      </w:r>
      <w:r>
        <w:rPr>
          <w:rFonts w:ascii="仿宋_GB2312" w:eastAsia="仿宋_GB2312"/>
          <w:sz w:val="32"/>
          <w:szCs w:val="32"/>
        </w:rPr>
        <w:t>未</w:t>
      </w:r>
      <w:r>
        <w:rPr>
          <w:rFonts w:hint="eastAsia" w:ascii="仿宋_GB2312" w:eastAsia="仿宋_GB2312"/>
          <w:sz w:val="32"/>
          <w:szCs w:val="32"/>
        </w:rPr>
        <w:t>安排购置车辆及购置单位价值50万元以上的通用设备。</w:t>
      </w:r>
    </w:p>
    <w:p w14:paraId="6EB2D076">
      <w:pPr>
        <w:spacing w:line="600" w:lineRule="exact"/>
        <w:ind w:firstLine="640" w:firstLineChars="200"/>
        <w:rPr>
          <w:rFonts w:ascii="仿宋_GB2312" w:eastAsia="仿宋_GB2312"/>
          <w:sz w:val="32"/>
          <w:szCs w:val="32"/>
        </w:rPr>
      </w:pPr>
    </w:p>
    <w:p w14:paraId="4D245132">
      <w:pPr>
        <w:spacing w:line="600" w:lineRule="exact"/>
        <w:jc w:val="center"/>
        <w:rPr>
          <w:rFonts w:ascii="黑体" w:hAnsi="黑体" w:eastAsia="黑体"/>
          <w:bCs/>
          <w:sz w:val="32"/>
          <w:szCs w:val="32"/>
        </w:rPr>
      </w:pPr>
      <w:r>
        <w:rPr>
          <w:rFonts w:hint="eastAsia" w:ascii="黑体" w:hAnsi="黑体" w:eastAsia="黑体"/>
          <w:bCs/>
          <w:sz w:val="32"/>
          <w:szCs w:val="32"/>
        </w:rPr>
        <w:t>第四部分 名词解释</w:t>
      </w:r>
    </w:p>
    <w:p w14:paraId="3A09D542">
      <w:pPr>
        <w:spacing w:line="600" w:lineRule="exact"/>
        <w:ind w:firstLine="640" w:firstLineChars="200"/>
        <w:rPr>
          <w:rFonts w:ascii="仿宋_GB2312" w:eastAsia="仿宋_GB2312"/>
          <w:sz w:val="32"/>
          <w:szCs w:val="32"/>
        </w:rPr>
      </w:pPr>
    </w:p>
    <w:p w14:paraId="00A53141">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一、收入科目</w:t>
      </w:r>
    </w:p>
    <w:p w14:paraId="680DCF14">
      <w:pPr>
        <w:spacing w:line="600" w:lineRule="exact"/>
        <w:ind w:firstLine="640" w:firstLineChars="200"/>
        <w:rPr>
          <w:rFonts w:ascii="仿宋_GB2312" w:eastAsia="仿宋_GB2312"/>
          <w:sz w:val="32"/>
          <w:szCs w:val="32"/>
        </w:rPr>
      </w:pPr>
      <w:r>
        <w:rPr>
          <w:rFonts w:hint="eastAsia" w:ascii="仿宋_GB2312" w:eastAsia="仿宋_GB2312"/>
          <w:sz w:val="32"/>
          <w:szCs w:val="32"/>
        </w:rPr>
        <w:t>（一）一般公共预算拨款收入：指中央财政当年拨付的资金。</w:t>
      </w:r>
    </w:p>
    <w:p w14:paraId="60DEAD85">
      <w:pPr>
        <w:spacing w:line="600" w:lineRule="exact"/>
        <w:ind w:firstLine="640" w:firstLineChars="200"/>
        <w:rPr>
          <w:rFonts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51612001">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（三）</w:t>
      </w:r>
      <w:r>
        <w:rPr>
          <w:rFonts w:hint="eastAsia" w:ascii="仿宋_GB2312" w:eastAsia="仿宋_GB2312"/>
          <w:sz w:val="32"/>
          <w:szCs w:val="32"/>
          <w:lang w:eastAsia="zh-CN"/>
        </w:rPr>
        <w:t>其他收入：指除财政拨款收入、事业收入、上级补助收入、附属单位上缴收入等以外的各项收入。</w:t>
      </w:r>
    </w:p>
    <w:p w14:paraId="2441AE51">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四</w:t>
      </w:r>
      <w:r>
        <w:rPr>
          <w:rFonts w:hint="eastAsia" w:ascii="仿宋_GB2312" w:eastAsia="仿宋_GB2312"/>
          <w:sz w:val="32"/>
          <w:szCs w:val="32"/>
        </w:rPr>
        <w:t>）上年结转：指以前年度安排、结转到本年扔按原规定用途继续使用的资金。</w:t>
      </w:r>
    </w:p>
    <w:p w14:paraId="02880C51">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二、支出科目</w:t>
      </w:r>
    </w:p>
    <w:p w14:paraId="26FB29EA">
      <w:pPr>
        <w:spacing w:line="600" w:lineRule="exact"/>
        <w:ind w:firstLine="643" w:firstLineChars="200"/>
        <w:rPr>
          <w:rFonts w:ascii="楷体_GB2312" w:eastAsia="楷体_GB2312"/>
          <w:b/>
          <w:sz w:val="32"/>
          <w:szCs w:val="32"/>
        </w:rPr>
      </w:pPr>
      <w:r>
        <w:rPr>
          <w:rFonts w:hint="eastAsia" w:ascii="楷体_GB2312" w:eastAsia="楷体_GB2312"/>
          <w:b/>
          <w:sz w:val="32"/>
          <w:szCs w:val="32"/>
        </w:rPr>
        <w:t>（一）社会保障和就业支出（类）：反映政府在社会保障与就业方面的支出。</w:t>
      </w:r>
    </w:p>
    <w:p w14:paraId="5FE34E39">
      <w:pPr>
        <w:spacing w:line="600" w:lineRule="exact"/>
        <w:ind w:firstLine="640" w:firstLineChars="200"/>
        <w:rPr>
          <w:rFonts w:ascii="仿宋_GB2312" w:eastAsia="仿宋_GB2312"/>
          <w:sz w:val="32"/>
          <w:szCs w:val="32"/>
        </w:rPr>
      </w:pPr>
      <w:r>
        <w:rPr>
          <w:rFonts w:hint="eastAsia" w:ascii="仿宋_GB2312" w:eastAsia="仿宋_GB2312"/>
          <w:sz w:val="32"/>
          <w:szCs w:val="32"/>
        </w:rPr>
        <w:t>行政事业单位养老支出（款）：反映用于行政事业单位养老方面的支出。</w:t>
      </w:r>
    </w:p>
    <w:p w14:paraId="41B5B239">
      <w:pPr>
        <w:spacing w:line="600" w:lineRule="exact"/>
        <w:ind w:firstLine="640" w:firstLineChars="200"/>
        <w:rPr>
          <w:rFonts w:ascii="仿宋_GB2312" w:eastAsia="仿宋_GB2312"/>
          <w:sz w:val="32"/>
          <w:szCs w:val="32"/>
        </w:rPr>
      </w:pPr>
      <w:r>
        <w:rPr>
          <w:rFonts w:hint="eastAsia" w:ascii="仿宋_GB2312" w:eastAsia="仿宋_GB2312"/>
          <w:sz w:val="32"/>
          <w:szCs w:val="32"/>
        </w:rPr>
        <w:t>机关事业单位基本养老保险缴费支出（项）：反映机关事业单位实施养老保险制度由单位缴纳的基本养老保险费支出。</w:t>
      </w:r>
    </w:p>
    <w:p w14:paraId="4F78F828">
      <w:pPr>
        <w:spacing w:line="600" w:lineRule="exact"/>
        <w:ind w:firstLine="640" w:firstLineChars="200"/>
        <w:rPr>
          <w:rFonts w:ascii="仿宋_GB2312" w:eastAsia="仿宋_GB2312"/>
          <w:sz w:val="32"/>
          <w:szCs w:val="32"/>
        </w:rPr>
      </w:pPr>
      <w:r>
        <w:rPr>
          <w:rFonts w:hint="eastAsia" w:ascii="仿宋_GB2312" w:eastAsia="仿宋_GB2312"/>
          <w:sz w:val="32"/>
          <w:szCs w:val="32"/>
        </w:rPr>
        <w:t>机关事业单位职业年金缴费支出（项）：反映机关事业单位实施养老保险制度由单位实际缴纳的职业年金支出。</w:t>
      </w:r>
    </w:p>
    <w:p w14:paraId="108A5A81">
      <w:pPr>
        <w:spacing w:line="600" w:lineRule="exact"/>
        <w:ind w:firstLine="643" w:firstLineChars="200"/>
        <w:rPr>
          <w:rFonts w:ascii="楷体_GB2312" w:eastAsia="楷体_GB2312"/>
          <w:b/>
          <w:sz w:val="32"/>
          <w:szCs w:val="32"/>
        </w:rPr>
      </w:pPr>
      <w:r>
        <w:rPr>
          <w:rFonts w:hint="eastAsia" w:ascii="楷体_GB2312" w:eastAsia="楷体_GB2312"/>
          <w:b/>
          <w:sz w:val="32"/>
          <w:szCs w:val="32"/>
        </w:rPr>
        <w:t>（二）卫生健康支出（类）：反映政府卫生健康方面的支出。</w:t>
      </w:r>
    </w:p>
    <w:p w14:paraId="6DC8162C">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中医药事务</w:t>
      </w:r>
      <w:r>
        <w:rPr>
          <w:rFonts w:hint="eastAsia" w:ascii="仿宋_GB2312" w:eastAsia="仿宋_GB2312"/>
          <w:sz w:val="32"/>
          <w:szCs w:val="32"/>
        </w:rPr>
        <w:t>（款）：反映</w:t>
      </w:r>
      <w:r>
        <w:rPr>
          <w:rFonts w:hint="eastAsia" w:ascii="仿宋_GB2312" w:eastAsia="仿宋_GB2312"/>
          <w:sz w:val="32"/>
          <w:szCs w:val="32"/>
          <w:lang w:eastAsia="zh-CN"/>
        </w:rPr>
        <w:t>中医药管理等</w:t>
      </w:r>
      <w:r>
        <w:rPr>
          <w:rFonts w:hint="eastAsia" w:ascii="仿宋_GB2312" w:eastAsia="仿宋_GB2312"/>
          <w:sz w:val="32"/>
          <w:szCs w:val="32"/>
        </w:rPr>
        <w:t>方面的支出。</w:t>
      </w:r>
    </w:p>
    <w:p w14:paraId="7DE830E8">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事业运行（项）：反映事业单位的基本支出。</w:t>
      </w:r>
    </w:p>
    <w:p w14:paraId="05F178D4">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其他</w:t>
      </w:r>
      <w:r>
        <w:rPr>
          <w:rFonts w:hint="eastAsia" w:ascii="仿宋_GB2312" w:eastAsia="仿宋_GB2312"/>
          <w:sz w:val="32"/>
          <w:szCs w:val="32"/>
        </w:rPr>
        <w:t>中医药</w:t>
      </w:r>
      <w:r>
        <w:rPr>
          <w:rFonts w:hint="eastAsia" w:ascii="仿宋_GB2312" w:eastAsia="仿宋_GB2312"/>
          <w:sz w:val="32"/>
          <w:szCs w:val="32"/>
          <w:lang w:eastAsia="zh-CN"/>
        </w:rPr>
        <w:t>事务支出</w:t>
      </w:r>
      <w:r>
        <w:rPr>
          <w:rFonts w:hint="eastAsia" w:ascii="仿宋_GB2312" w:eastAsia="仿宋_GB2312"/>
          <w:sz w:val="32"/>
          <w:szCs w:val="32"/>
        </w:rPr>
        <w:t>（项）：　反映</w:t>
      </w:r>
      <w:r>
        <w:rPr>
          <w:rFonts w:hint="eastAsia" w:ascii="仿宋_GB2312" w:eastAsia="仿宋_GB2312"/>
          <w:sz w:val="32"/>
          <w:szCs w:val="32"/>
          <w:lang w:eastAsia="zh-CN"/>
        </w:rPr>
        <w:t>其他用于</w:t>
      </w:r>
      <w:r>
        <w:rPr>
          <w:rFonts w:hint="eastAsia" w:ascii="仿宋_GB2312" w:eastAsia="仿宋_GB2312"/>
          <w:sz w:val="32"/>
          <w:szCs w:val="32"/>
        </w:rPr>
        <w:t>中医药</w:t>
      </w:r>
      <w:r>
        <w:rPr>
          <w:rFonts w:hint="eastAsia" w:ascii="仿宋_GB2312" w:eastAsia="仿宋_GB2312"/>
          <w:sz w:val="32"/>
          <w:szCs w:val="32"/>
          <w:lang w:eastAsia="zh-CN"/>
        </w:rPr>
        <w:t>事务</w:t>
      </w:r>
      <w:r>
        <w:rPr>
          <w:rFonts w:hint="eastAsia" w:ascii="仿宋_GB2312" w:eastAsia="仿宋_GB2312"/>
          <w:sz w:val="32"/>
          <w:szCs w:val="32"/>
        </w:rPr>
        <w:t>方面的支出。　</w:t>
      </w:r>
    </w:p>
    <w:p w14:paraId="0B772A9A">
      <w:pPr>
        <w:spacing w:line="600" w:lineRule="exact"/>
        <w:ind w:firstLine="643" w:firstLineChars="200"/>
        <w:rPr>
          <w:rFonts w:ascii="楷体_GB2312" w:eastAsia="楷体_GB2312"/>
          <w:b/>
          <w:sz w:val="32"/>
          <w:szCs w:val="32"/>
        </w:rPr>
      </w:pPr>
      <w:r>
        <w:rPr>
          <w:rFonts w:hint="eastAsia" w:ascii="楷体_GB2312" w:eastAsia="楷体_GB2312"/>
          <w:b/>
          <w:sz w:val="32"/>
          <w:szCs w:val="32"/>
        </w:rPr>
        <w:t>（三）住房保障支出（类）：集中反映政府用于住房方面的支出。</w:t>
      </w:r>
    </w:p>
    <w:p w14:paraId="6B4BB271">
      <w:pPr>
        <w:spacing w:line="600" w:lineRule="exact"/>
        <w:ind w:firstLine="640" w:firstLineChars="200"/>
        <w:rPr>
          <w:rFonts w:ascii="仿宋_GB2312" w:eastAsia="仿宋_GB2312"/>
          <w:sz w:val="32"/>
          <w:szCs w:val="32"/>
        </w:rPr>
      </w:pPr>
      <w:r>
        <w:rPr>
          <w:rFonts w:hint="eastAsia" w:ascii="仿宋_GB2312" w:eastAsia="仿宋_GB2312"/>
          <w:sz w:val="32"/>
          <w:szCs w:val="32"/>
        </w:rPr>
        <w:t>住房改革支出（款）：指行政事业单位用财政拨款资金和其他资金等安排的住房改革支出。</w:t>
      </w:r>
    </w:p>
    <w:p w14:paraId="152F65C6">
      <w:pPr>
        <w:spacing w:line="600" w:lineRule="exact"/>
        <w:ind w:firstLine="640" w:firstLineChars="200"/>
        <w:rPr>
          <w:rFonts w:ascii="仿宋_GB2312" w:eastAsia="仿宋_GB2312"/>
          <w:sz w:val="32"/>
          <w:szCs w:val="32"/>
        </w:rPr>
      </w:pPr>
      <w:r>
        <w:rPr>
          <w:rFonts w:hint="eastAsia" w:ascii="仿宋_GB2312" w:eastAsia="仿宋_GB2312"/>
          <w:sz w:val="32"/>
          <w:szCs w:val="32"/>
        </w:rPr>
        <w:t>住房公积金（项）：指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约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14:paraId="14411F47">
      <w:pPr>
        <w:spacing w:line="600" w:lineRule="exact"/>
        <w:ind w:firstLine="640" w:firstLineChars="200"/>
        <w:rPr>
          <w:rFonts w:ascii="仿宋_GB2312" w:eastAsia="仿宋_GB2312"/>
          <w:sz w:val="32"/>
          <w:szCs w:val="32"/>
        </w:rPr>
      </w:pPr>
      <w:r>
        <w:rPr>
          <w:rFonts w:hint="eastAsia" w:ascii="仿宋_GB2312" w:eastAsia="仿宋_GB2312"/>
          <w:sz w:val="32"/>
          <w:szCs w:val="32"/>
        </w:rPr>
        <w:t>提租补贴（项）：指经国务院批准，于2000年开始针对在京中央单位公有住房租金标准提高发放的补贴，中央在京单位按照在编职工人数和离退休人数以及相应职级的补贴标准确定，人均月补贴90元。</w:t>
      </w:r>
    </w:p>
    <w:p w14:paraId="2C3E1E2A">
      <w:pPr>
        <w:spacing w:line="600" w:lineRule="exact"/>
        <w:ind w:firstLine="640" w:firstLineChars="200"/>
        <w:rPr>
          <w:rFonts w:ascii="仿宋_GB2312" w:eastAsia="仿宋_GB2312"/>
          <w:sz w:val="32"/>
          <w:szCs w:val="32"/>
        </w:rPr>
      </w:pPr>
      <w:r>
        <w:rPr>
          <w:rFonts w:hint="eastAsia" w:ascii="仿宋_GB2312" w:eastAsia="仿宋_GB2312"/>
          <w:sz w:val="32"/>
          <w:szCs w:val="32"/>
        </w:rPr>
        <w:t>购房补贴（项）：指根据《国务院关于进一步深化城镇住房制度改革加快住房建设的通知》(国发</w:t>
      </w:r>
      <w:r>
        <w:rPr>
          <w:rFonts w:hint="eastAsia" w:ascii="仿宋_GB2312" w:hAnsi="仿宋" w:eastAsia="仿宋_GB2312" w:cs="仿宋_GB2312"/>
          <w:sz w:val="32"/>
          <w:szCs w:val="32"/>
        </w:rPr>
        <w:t>〔</w:t>
      </w:r>
      <w:r>
        <w:rPr>
          <w:rFonts w:hint="eastAsia" w:ascii="仿宋_GB2312" w:eastAsia="仿宋_GB2312"/>
          <w:sz w:val="32"/>
          <w:szCs w:val="32"/>
        </w:rPr>
        <w:t>1998</w:t>
      </w:r>
      <w:r>
        <w:rPr>
          <w:rFonts w:hint="eastAsia" w:ascii="仿宋_GB2312" w:hAnsi="仿宋" w:eastAsia="仿宋_GB2312" w:cs="仿宋_GB2312"/>
          <w:sz w:val="32"/>
          <w:szCs w:val="32"/>
        </w:rPr>
        <w:t>〕</w:t>
      </w:r>
      <w:r>
        <w:rPr>
          <w:rFonts w:hint="eastAsia" w:ascii="仿宋_GB2312" w:eastAsia="仿宋_GB2312"/>
          <w:sz w:val="32"/>
          <w:szCs w:val="32"/>
        </w:rPr>
        <w:t>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 国务院办公厅转发建设部等单位&lt;关于完善在京中央和国家机关住房制度的若干意见&gt;的通知》（厅字</w:t>
      </w:r>
      <w:r>
        <w:rPr>
          <w:rFonts w:hint="eastAsia" w:ascii="仿宋_GB2312" w:hAnsi="仿宋" w:eastAsia="仿宋_GB2312" w:cs="仿宋_GB2312"/>
          <w:sz w:val="32"/>
          <w:szCs w:val="32"/>
        </w:rPr>
        <w:t>〔</w:t>
      </w:r>
      <w:r>
        <w:rPr>
          <w:rFonts w:hint="eastAsia" w:ascii="仿宋_GB2312" w:eastAsia="仿宋_GB2312"/>
          <w:sz w:val="32"/>
          <w:szCs w:val="32"/>
        </w:rPr>
        <w:t>2005</w:t>
      </w:r>
      <w:r>
        <w:rPr>
          <w:rFonts w:hint="eastAsia" w:ascii="仿宋_GB2312" w:hAnsi="仿宋" w:eastAsia="仿宋_GB2312" w:cs="仿宋_GB2312"/>
          <w:sz w:val="32"/>
          <w:szCs w:val="32"/>
        </w:rPr>
        <w:t>〕</w:t>
      </w:r>
      <w:r>
        <w:rPr>
          <w:rFonts w:hint="eastAsia" w:ascii="仿宋_GB2312" w:eastAsia="仿宋_GB2312"/>
          <w:sz w:val="32"/>
          <w:szCs w:val="32"/>
        </w:rPr>
        <w:t>8号）规定的标准执行，京外中央单位按照所在地人民政府住房分配货币化改革的政策规定和标准执行。</w:t>
      </w:r>
    </w:p>
    <w:p w14:paraId="4384BEC9">
      <w:pPr>
        <w:spacing w:line="600" w:lineRule="exact"/>
        <w:ind w:firstLine="640" w:firstLineChars="200"/>
        <w:rPr>
          <w:rFonts w:ascii="黑体" w:hAnsi="黑体" w:eastAsia="黑体"/>
          <w:bCs/>
          <w:sz w:val="32"/>
          <w:szCs w:val="32"/>
        </w:rPr>
      </w:pPr>
      <w:r>
        <w:rPr>
          <w:rFonts w:hint="eastAsia" w:ascii="黑体" w:hAnsi="黑体" w:eastAsia="黑体"/>
          <w:bCs/>
          <w:sz w:val="32"/>
          <w:szCs w:val="32"/>
        </w:rPr>
        <w:t>三、“三公”经费</w:t>
      </w:r>
    </w:p>
    <w:p w14:paraId="7C3D89F5">
      <w:pPr>
        <w:spacing w:line="600" w:lineRule="exact"/>
        <w:ind w:firstLine="640" w:firstLineChars="200"/>
        <w:rPr>
          <w:rFonts w:ascii="仿宋_GB2312" w:eastAsia="仿宋_GB2312"/>
          <w:sz w:val="32"/>
          <w:szCs w:val="32"/>
        </w:rPr>
      </w:pPr>
      <w:r>
        <w:rPr>
          <w:rFonts w:hint="eastAsia" w:ascii="仿宋_GB2312" w:eastAsia="仿宋_GB2312"/>
          <w:sz w:val="32"/>
          <w:szCs w:val="32"/>
        </w:rPr>
        <w:t>纳入预算管理的“三公”经费主要指用财政拨款安排的因公出国（境）费、公务用车购置及运行费和公务接待费。其中:</w:t>
      </w:r>
    </w:p>
    <w:p w14:paraId="54777B73">
      <w:pPr>
        <w:spacing w:line="600" w:lineRule="exact"/>
        <w:ind w:firstLine="640" w:firstLineChars="200"/>
        <w:rPr>
          <w:rFonts w:ascii="仿宋_GB2312" w:eastAsia="仿宋_GB2312"/>
          <w:sz w:val="32"/>
          <w:szCs w:val="32"/>
        </w:rPr>
      </w:pPr>
      <w:r>
        <w:rPr>
          <w:rFonts w:hint="eastAsia" w:ascii="仿宋_GB2312" w:eastAsia="仿宋_GB2312"/>
          <w:sz w:val="32"/>
          <w:szCs w:val="32"/>
        </w:rPr>
        <w:t>因公出国（境）费反映单位公务出国（境）的住宿费、旅费、伙食补助费、杂费、培训费等支出;</w:t>
      </w:r>
    </w:p>
    <w:p w14:paraId="58EC7AD8">
      <w:pPr>
        <w:spacing w:line="600" w:lineRule="exact"/>
        <w:ind w:firstLine="640" w:firstLineChars="200"/>
        <w:rPr>
          <w:rFonts w:ascii="仿宋_GB2312" w:eastAsia="仿宋_GB2312"/>
          <w:sz w:val="32"/>
          <w:szCs w:val="32"/>
        </w:rPr>
      </w:pPr>
      <w:r>
        <w:rPr>
          <w:rFonts w:hint="eastAsia" w:ascii="仿宋_GB2312" w:eastAsia="仿宋_GB2312"/>
          <w:sz w:val="32"/>
          <w:szCs w:val="32"/>
        </w:rPr>
        <w:t>公务用车购置及运行费反映单位公务用车购置费及租用费、燃料费、维修费、过路过桥费、保险费、安全奖励费用等支出;</w:t>
      </w:r>
    </w:p>
    <w:p w14:paraId="206EDF01">
      <w:pPr>
        <w:spacing w:line="600" w:lineRule="exact"/>
        <w:ind w:firstLine="640" w:firstLineChars="200"/>
        <w:rPr>
          <w:rFonts w:ascii="仿宋_GB2312" w:eastAsia="仿宋_GB2312"/>
          <w:sz w:val="32"/>
          <w:szCs w:val="32"/>
        </w:rPr>
      </w:pPr>
      <w:r>
        <w:rPr>
          <w:rFonts w:hint="eastAsia" w:ascii="仿宋_GB2312" w:eastAsia="仿宋_GB2312"/>
          <w:sz w:val="32"/>
          <w:szCs w:val="32"/>
        </w:rPr>
        <w:t>公务接待费反映单位按规定开支的各类公务接待（含外宾接待）支出。</w:t>
      </w:r>
    </w:p>
    <w:p w14:paraId="37CE5623">
      <w:pPr>
        <w:numPr>
          <w:ilvl w:val="0"/>
          <w:numId w:val="0"/>
        </w:numPr>
        <w:spacing w:line="600" w:lineRule="exact"/>
        <w:jc w:val="both"/>
        <w:rPr>
          <w:rFonts w:ascii="黑体" w:hAnsi="黑体" w:eastAsia="黑体"/>
          <w:bCs/>
          <w:sz w:val="32"/>
          <w:szCs w:val="32"/>
        </w:rPr>
      </w:pPr>
    </w:p>
    <w:p w14:paraId="01048969">
      <w:pPr>
        <w:rPr>
          <w:rFonts w:ascii="黑体" w:hAnsi="黑体" w:eastAsia="黑体"/>
          <w:bCs/>
          <w:sz w:val="32"/>
          <w:szCs w:val="32"/>
        </w:rPr>
      </w:pPr>
    </w:p>
    <w:p w14:paraId="40A58CA6">
      <w:pPr>
        <w:rPr>
          <w:sz w:val="22"/>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FCB9278-A7B4-4BB6-9519-4CF8333D30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28436CF0-1EA2-47C2-8722-F728CBA2E59D}"/>
  </w:font>
  <w:font w:name="仿宋_GB2312">
    <w:panose1 w:val="02010609030101010101"/>
    <w:charset w:val="86"/>
    <w:family w:val="modern"/>
    <w:pitch w:val="default"/>
    <w:sig w:usb0="00000001" w:usb1="080E0000" w:usb2="00000000" w:usb3="00000000" w:csb0="00040000" w:csb1="00000000"/>
    <w:embedRegular r:id="rId3" w:fontKey="{AF4067BC-2668-4EDC-971E-1E9FF78657DB}"/>
  </w:font>
  <w:font w:name="华文仿宋">
    <w:altName w:val="仿宋"/>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embedRegular r:id="rId4" w:fontKey="{F9711528-4680-466B-94E8-B891EB03B380}"/>
  </w:font>
  <w:font w:name="仿宋">
    <w:panose1 w:val="02010609060101010101"/>
    <w:charset w:val="86"/>
    <w:family w:val="modern"/>
    <w:pitch w:val="default"/>
    <w:sig w:usb0="800002BF" w:usb1="38CF7CFA" w:usb2="00000016" w:usb3="00000000" w:csb0="00040001" w:csb1="00000000"/>
    <w:embedRegular r:id="rId5" w:fontKey="{2F86332C-FDA6-471E-B423-9C16813D96E2}"/>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F3425">
    <w:pPr>
      <w:pStyle w:val="3"/>
      <w:jc w:val="center"/>
    </w:pPr>
    <w:r>
      <w:rPr>
        <w:rFonts w:hint="eastAsia" w:ascii="华文仿宋" w:hAnsi="华文仿宋" w:eastAsia="华文仿宋"/>
        <w:sz w:val="28"/>
        <w:szCs w:val="28"/>
      </w:rPr>
      <w:t xml:space="preserve">— </w:t>
    </w:r>
    <w:r>
      <w:rPr>
        <w:rFonts w:ascii="华文仿宋" w:hAnsi="华文仿宋" w:eastAsia="华文仿宋"/>
        <w:sz w:val="28"/>
        <w:szCs w:val="28"/>
      </w:rPr>
      <w:fldChar w:fldCharType="begin"/>
    </w:r>
    <w:r>
      <w:rPr>
        <w:rFonts w:ascii="华文仿宋" w:hAnsi="华文仿宋" w:eastAsia="华文仿宋"/>
        <w:sz w:val="28"/>
        <w:szCs w:val="28"/>
      </w:rPr>
      <w:instrText xml:space="preserve">PAGE   \* MERGEFORMAT</w:instrText>
    </w:r>
    <w:r>
      <w:rPr>
        <w:rFonts w:ascii="华文仿宋" w:hAnsi="华文仿宋" w:eastAsia="华文仿宋"/>
        <w:sz w:val="28"/>
        <w:szCs w:val="28"/>
      </w:rPr>
      <w:fldChar w:fldCharType="separate"/>
    </w:r>
    <w:r>
      <w:rPr>
        <w:rFonts w:ascii="华文仿宋" w:hAnsi="华文仿宋" w:eastAsia="华文仿宋"/>
        <w:sz w:val="28"/>
        <w:szCs w:val="28"/>
        <w:lang w:val="zh-CN"/>
      </w:rPr>
      <w:t>15</w:t>
    </w:r>
    <w:r>
      <w:rPr>
        <w:rFonts w:ascii="华文仿宋" w:hAnsi="华文仿宋" w:eastAsia="华文仿宋"/>
        <w:sz w:val="28"/>
        <w:szCs w:val="28"/>
      </w:rPr>
      <w:fldChar w:fldCharType="end"/>
    </w:r>
    <w:r>
      <w:rPr>
        <w:rFonts w:hint="eastAsia" w:ascii="华文仿宋" w:hAnsi="华文仿宋" w:eastAsia="华文仿宋"/>
        <w:sz w:val="28"/>
        <w:szCs w:val="28"/>
      </w:rPr>
      <w:t xml:space="preserve"> —</w:t>
    </w:r>
  </w:p>
  <w:p w14:paraId="285C5CF3">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CA1D8"/>
    <w:multiLevelType w:val="singleLevel"/>
    <w:tmpl w:val="FF9CA1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MWJkZGVmYzBjY2U0OWE2ODVjYjc2NzhiN2MwMjAifQ=="/>
  </w:docVars>
  <w:rsids>
    <w:rsidRoot w:val="00174A38"/>
    <w:rsid w:val="00005DD2"/>
    <w:rsid w:val="00022BF2"/>
    <w:rsid w:val="00092F04"/>
    <w:rsid w:val="00095849"/>
    <w:rsid w:val="000D621B"/>
    <w:rsid w:val="000F1432"/>
    <w:rsid w:val="00106C8A"/>
    <w:rsid w:val="0013589C"/>
    <w:rsid w:val="00174A38"/>
    <w:rsid w:val="00176ED8"/>
    <w:rsid w:val="001E0862"/>
    <w:rsid w:val="00223AED"/>
    <w:rsid w:val="00224327"/>
    <w:rsid w:val="00261ACD"/>
    <w:rsid w:val="002758D7"/>
    <w:rsid w:val="002E35E1"/>
    <w:rsid w:val="002E76E0"/>
    <w:rsid w:val="003B3DFB"/>
    <w:rsid w:val="003E1028"/>
    <w:rsid w:val="00430BDB"/>
    <w:rsid w:val="00453FD7"/>
    <w:rsid w:val="00500FED"/>
    <w:rsid w:val="00544905"/>
    <w:rsid w:val="00553754"/>
    <w:rsid w:val="0058268E"/>
    <w:rsid w:val="005E1EB1"/>
    <w:rsid w:val="005F29AA"/>
    <w:rsid w:val="006441F6"/>
    <w:rsid w:val="00652C8F"/>
    <w:rsid w:val="0072762E"/>
    <w:rsid w:val="00744EA4"/>
    <w:rsid w:val="0078005F"/>
    <w:rsid w:val="008A2CDF"/>
    <w:rsid w:val="008A58FE"/>
    <w:rsid w:val="008B11AA"/>
    <w:rsid w:val="008E0C60"/>
    <w:rsid w:val="0090384A"/>
    <w:rsid w:val="00985935"/>
    <w:rsid w:val="009A04C9"/>
    <w:rsid w:val="009F7CA1"/>
    <w:rsid w:val="00AD026B"/>
    <w:rsid w:val="00B0091D"/>
    <w:rsid w:val="00B101A7"/>
    <w:rsid w:val="00B87985"/>
    <w:rsid w:val="00BD3049"/>
    <w:rsid w:val="00D37D01"/>
    <w:rsid w:val="00D50772"/>
    <w:rsid w:val="00E97E19"/>
    <w:rsid w:val="00EF2EF9"/>
    <w:rsid w:val="00FD3441"/>
    <w:rsid w:val="01101675"/>
    <w:rsid w:val="02CE5A23"/>
    <w:rsid w:val="03D914B2"/>
    <w:rsid w:val="04934A97"/>
    <w:rsid w:val="05094EE6"/>
    <w:rsid w:val="05597178"/>
    <w:rsid w:val="0657015D"/>
    <w:rsid w:val="09111C15"/>
    <w:rsid w:val="09331A46"/>
    <w:rsid w:val="093D3223"/>
    <w:rsid w:val="09A3577C"/>
    <w:rsid w:val="09EA6F07"/>
    <w:rsid w:val="0A1D5CA7"/>
    <w:rsid w:val="0B3A5C6C"/>
    <w:rsid w:val="0B6B4077"/>
    <w:rsid w:val="0B7B20D3"/>
    <w:rsid w:val="0DF963A9"/>
    <w:rsid w:val="0E1C58A8"/>
    <w:rsid w:val="0EA51707"/>
    <w:rsid w:val="0F996C2A"/>
    <w:rsid w:val="11CF5921"/>
    <w:rsid w:val="126D6927"/>
    <w:rsid w:val="15944F17"/>
    <w:rsid w:val="15F5735F"/>
    <w:rsid w:val="177B0839"/>
    <w:rsid w:val="181635BD"/>
    <w:rsid w:val="19BE215E"/>
    <w:rsid w:val="1AA17814"/>
    <w:rsid w:val="1B8408B4"/>
    <w:rsid w:val="1BAD4238"/>
    <w:rsid w:val="1BDC3D23"/>
    <w:rsid w:val="1C7B0F0D"/>
    <w:rsid w:val="1CC810E8"/>
    <w:rsid w:val="1D3B0E9B"/>
    <w:rsid w:val="1D5C3CAE"/>
    <w:rsid w:val="1E426EBA"/>
    <w:rsid w:val="1ECE5CA2"/>
    <w:rsid w:val="1EDD216C"/>
    <w:rsid w:val="1FC86DD3"/>
    <w:rsid w:val="201E053A"/>
    <w:rsid w:val="24300928"/>
    <w:rsid w:val="257F6FF5"/>
    <w:rsid w:val="25BA2412"/>
    <w:rsid w:val="25D32BD0"/>
    <w:rsid w:val="26377E49"/>
    <w:rsid w:val="268345E0"/>
    <w:rsid w:val="26B34FED"/>
    <w:rsid w:val="270C46A1"/>
    <w:rsid w:val="273A0368"/>
    <w:rsid w:val="27914A0E"/>
    <w:rsid w:val="27E13C65"/>
    <w:rsid w:val="2A113EF1"/>
    <w:rsid w:val="2C0E487F"/>
    <w:rsid w:val="2CA46F92"/>
    <w:rsid w:val="2D5577A6"/>
    <w:rsid w:val="2E966D85"/>
    <w:rsid w:val="2F482A79"/>
    <w:rsid w:val="2F5338F0"/>
    <w:rsid w:val="300E50F4"/>
    <w:rsid w:val="3063485D"/>
    <w:rsid w:val="30BB0763"/>
    <w:rsid w:val="30BD4AC6"/>
    <w:rsid w:val="30F30FA2"/>
    <w:rsid w:val="315725D6"/>
    <w:rsid w:val="3260395B"/>
    <w:rsid w:val="33615DEC"/>
    <w:rsid w:val="36091EE4"/>
    <w:rsid w:val="363966F3"/>
    <w:rsid w:val="368F014E"/>
    <w:rsid w:val="378D2BDF"/>
    <w:rsid w:val="38064FA4"/>
    <w:rsid w:val="3885236D"/>
    <w:rsid w:val="38967DC0"/>
    <w:rsid w:val="3A69578F"/>
    <w:rsid w:val="3AC63143"/>
    <w:rsid w:val="3C370A12"/>
    <w:rsid w:val="3C724B44"/>
    <w:rsid w:val="3D141CAF"/>
    <w:rsid w:val="3DD92FDA"/>
    <w:rsid w:val="40A770B8"/>
    <w:rsid w:val="40C96B6F"/>
    <w:rsid w:val="420E6262"/>
    <w:rsid w:val="45AB2253"/>
    <w:rsid w:val="46D766BF"/>
    <w:rsid w:val="478A662B"/>
    <w:rsid w:val="47AF6ABF"/>
    <w:rsid w:val="47D13BD2"/>
    <w:rsid w:val="47FB7B28"/>
    <w:rsid w:val="48BA2191"/>
    <w:rsid w:val="491B1C94"/>
    <w:rsid w:val="49294954"/>
    <w:rsid w:val="4A441989"/>
    <w:rsid w:val="4A794964"/>
    <w:rsid w:val="4B5E33B5"/>
    <w:rsid w:val="4C4F24BF"/>
    <w:rsid w:val="4C524DC1"/>
    <w:rsid w:val="4D1C40CD"/>
    <w:rsid w:val="4DEA6AA2"/>
    <w:rsid w:val="4DED276A"/>
    <w:rsid w:val="4E5027BA"/>
    <w:rsid w:val="4F127F72"/>
    <w:rsid w:val="4F191C7C"/>
    <w:rsid w:val="4F9827A5"/>
    <w:rsid w:val="50C62971"/>
    <w:rsid w:val="51DB6702"/>
    <w:rsid w:val="52BA5C46"/>
    <w:rsid w:val="534F66DC"/>
    <w:rsid w:val="56953F49"/>
    <w:rsid w:val="57777689"/>
    <w:rsid w:val="58D70937"/>
    <w:rsid w:val="5AA93805"/>
    <w:rsid w:val="5AB81CD6"/>
    <w:rsid w:val="5B705B06"/>
    <w:rsid w:val="5C0C6D57"/>
    <w:rsid w:val="5D5017B1"/>
    <w:rsid w:val="5D973E25"/>
    <w:rsid w:val="5DDB3CB9"/>
    <w:rsid w:val="5DED1E5B"/>
    <w:rsid w:val="5ECB2FA9"/>
    <w:rsid w:val="5F574BF4"/>
    <w:rsid w:val="5FF732A1"/>
    <w:rsid w:val="606F3C1D"/>
    <w:rsid w:val="62B15989"/>
    <w:rsid w:val="63D42F78"/>
    <w:rsid w:val="64597E45"/>
    <w:rsid w:val="645D1E8F"/>
    <w:rsid w:val="654E5E7F"/>
    <w:rsid w:val="6BA918F3"/>
    <w:rsid w:val="6BAD0233"/>
    <w:rsid w:val="6BD46138"/>
    <w:rsid w:val="6BE37510"/>
    <w:rsid w:val="6C57295E"/>
    <w:rsid w:val="6CE508B1"/>
    <w:rsid w:val="6D837F22"/>
    <w:rsid w:val="6D991BD3"/>
    <w:rsid w:val="700A40C4"/>
    <w:rsid w:val="70984E6B"/>
    <w:rsid w:val="709D0625"/>
    <w:rsid w:val="70B7018D"/>
    <w:rsid w:val="70BF7D6B"/>
    <w:rsid w:val="71F66D30"/>
    <w:rsid w:val="71FC60B5"/>
    <w:rsid w:val="723E4AF5"/>
    <w:rsid w:val="731E2B7F"/>
    <w:rsid w:val="73DA4BFF"/>
    <w:rsid w:val="74D32C0A"/>
    <w:rsid w:val="75586BA7"/>
    <w:rsid w:val="756B0759"/>
    <w:rsid w:val="75B32724"/>
    <w:rsid w:val="75BE3A8D"/>
    <w:rsid w:val="75C02C57"/>
    <w:rsid w:val="763149BF"/>
    <w:rsid w:val="776149A8"/>
    <w:rsid w:val="77B85581"/>
    <w:rsid w:val="78210A63"/>
    <w:rsid w:val="78762B5D"/>
    <w:rsid w:val="7A225AF9"/>
    <w:rsid w:val="7ABB5A9F"/>
    <w:rsid w:val="7C49527F"/>
    <w:rsid w:val="7DB32C04"/>
    <w:rsid w:val="7DF53A1F"/>
    <w:rsid w:val="7E2A5363"/>
    <w:rsid w:val="7E95664B"/>
    <w:rsid w:val="7F3E1EFB"/>
    <w:rsid w:val="7FBC21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autoRedefine/>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批注框文本 Char"/>
    <w:basedOn w:val="7"/>
    <w:link w:val="2"/>
    <w:autoRedefine/>
    <w:semiHidden/>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页眉 Char"/>
    <w:basedOn w:val="7"/>
    <w:link w:val="4"/>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hart" Target="charts/chart7.xml"/><Relationship Id="rId28" Type="http://schemas.openxmlformats.org/officeDocument/2006/relationships/chart" Target="charts/chart6.xml"/><Relationship Id="rId27" Type="http://schemas.openxmlformats.org/officeDocument/2006/relationships/chart" Target="charts/chart5.xml"/><Relationship Id="rId26" Type="http://schemas.openxmlformats.org/officeDocument/2006/relationships/chart" Target="charts/chart4.xml"/><Relationship Id="rId25" Type="http://schemas.openxmlformats.org/officeDocument/2006/relationships/chart" Target="charts/chart3.xml"/><Relationship Id="rId24" Type="http://schemas.openxmlformats.org/officeDocument/2006/relationships/chart" Target="charts/chart2.xml"/><Relationship Id="rId23" Type="http://schemas.openxmlformats.org/officeDocument/2006/relationships/chart" Target="charts/chart1.xml"/><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600" b="0">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sz="1600" b="0">
                <a:latin typeface="黑体" panose="02010609060101010101" charset="-122"/>
                <a:ea typeface="黑体" panose="02010609060101010101" charset="-122"/>
                <a:cs typeface="黑体" panose="02010609060101010101" charset="-122"/>
                <a:sym typeface="仿宋_GB2312" panose="02010609030101010101" pitchFamily="3" charset="-122"/>
              </a:rPr>
              <a:t>年部门收入总表</a:t>
            </a:r>
            <a:endParaRPr sz="1600" b="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manualLayout>
          <c:xMode val="edge"/>
          <c:yMode val="edge"/>
          <c:x val="0.349777859526132"/>
          <c:y val="0.0318742031449214"/>
        </c:manualLayout>
      </c:layout>
      <c:overlay val="0"/>
      <c:spPr>
        <a:noFill/>
        <a:ln>
          <a:noFill/>
        </a:ln>
        <a:effectLst/>
      </c:spPr>
    </c:title>
    <c:autoTitleDeleted val="0"/>
    <c:plotArea>
      <c:layout/>
      <c:pieChart>
        <c:varyColors val="1"/>
        <c:ser>
          <c:idx val="0"/>
          <c:order val="0"/>
          <c:tx>
            <c:strRef>
              <c:f>Sheet1!$B$1</c:f>
              <c:strCache>
                <c:ptCount val="1"/>
                <c:pt idx="0">
                  <c:v>2026年部门收入总表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79.85%</a:t>
                    </a:r>
                    <a:endPar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16.85%%</a:t>
                    </a:r>
                    <a:endPar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0.0851654989127809"/>
                  <c:y val="0"/>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0.</a:t>
                    </a:r>
                    <a:r>
                      <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01%</a:t>
                    </a:r>
                    <a:endPar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0724812756704518"/>
                  <c:y val="-0.00707569105564673"/>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3.2%</a:t>
                    </a:r>
                    <a:endParaRPr lang="en-US" alt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一般公共预算拨款收入2369.69万元</c:v>
                </c:pt>
                <c:pt idx="1">
                  <c:v>事业收入500万元</c:v>
                </c:pt>
                <c:pt idx="2">
                  <c:v>其他收入3万元</c:v>
                </c:pt>
                <c:pt idx="3">
                  <c:v>上年结转94.9万元</c:v>
                </c:pt>
              </c:strCache>
            </c:strRef>
          </c:cat>
          <c:val>
            <c:numRef>
              <c:f>Sheet1!$B$2:$B$5</c:f>
              <c:numCache>
                <c:formatCode>General</c:formatCode>
                <c:ptCount val="4"/>
                <c:pt idx="0">
                  <c:v>79.85</c:v>
                </c:pt>
                <c:pt idx="1">
                  <c:v>16.85</c:v>
                </c:pt>
                <c:pt idx="2">
                  <c:v>0.01</c:v>
                </c:pt>
                <c:pt idx="3">
                  <c:v>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manualLayout>
          <c:xMode val="edge"/>
          <c:yMode val="edge"/>
          <c:x val="0.630707900459048"/>
          <c:y val="0.347385823517256"/>
          <c:w val="0.365668035757429"/>
          <c:h val="0.38665013432527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2ba376c9-26a8-4a65-af50-82ef3673910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rPr>
              <a:t>2025</a:t>
            </a:r>
            <a:r>
              <a:rPr altLang="en-US" sz="1600">
                <a:latin typeface="黑体" panose="02010609060101010101" charset="-122"/>
                <a:ea typeface="黑体" panose="02010609060101010101" charset="-122"/>
                <a:cs typeface="黑体" panose="02010609060101010101" charset="-122"/>
                <a:sym typeface="仿宋_GB2312" panose="02010609030101010101" pitchFamily="3" charset="-122"/>
              </a:rPr>
              <a:t>年部门支出总表</a:t>
            </a:r>
            <a:endPar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pieChart>
        <c:varyColors val="1"/>
        <c:ser>
          <c:idx val="0"/>
          <c:order val="0"/>
          <c:tx>
            <c:strRef>
              <c:f>Sheet1!$B$1</c:f>
              <c:strCache>
                <c:ptCount val="1"/>
                <c:pt idx="0">
                  <c:v>2025年部门支出总表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50.01%</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49.99%</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基本支出1484.08万元</c:v>
                </c:pt>
                <c:pt idx="1">
                  <c:v>项目支出1483.51万元</c:v>
                </c:pt>
              </c:strCache>
            </c:strRef>
          </c:cat>
          <c:val>
            <c:numRef>
              <c:f>Sheet1!$B$2:$B$3</c:f>
              <c:numCache>
                <c:formatCode>General</c:formatCode>
                <c:ptCount val="2"/>
                <c:pt idx="0">
                  <c:v>50.01</c:v>
                </c:pt>
                <c:pt idx="1">
                  <c:v>49.99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2b9485e5-650b-4f23-963f-82c09bcd06e7}"/>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92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400">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sz="1400">
                <a:latin typeface="黑体" panose="02010609060101010101" charset="-122"/>
                <a:ea typeface="黑体" panose="02010609060101010101" charset="-122"/>
                <a:cs typeface="黑体" panose="02010609060101010101" charset="-122"/>
                <a:sym typeface="仿宋_GB2312" panose="02010609030101010101" pitchFamily="3" charset="-122"/>
              </a:rPr>
              <a:t>年财政拨款收入总表</a:t>
            </a:r>
            <a:endParaRPr sz="140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pieChart>
        <c:varyColors val="1"/>
        <c:ser>
          <c:idx val="0"/>
          <c:order val="0"/>
          <c:tx>
            <c:strRef>
              <c:f>Sheet1!$B$1</c:f>
              <c:strCache>
                <c:ptCount val="1"/>
                <c:pt idx="0">
                  <c:v>2025年财政拨款收入总表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forceAA="0"/>
                  <a:lstStyle/>
                  <a:p>
                    <a:pPr defTabSz="914400">
                      <a:defRPr lang="zh-CN" sz="9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2369.69</a:t>
                    </a:r>
                    <a:r>
                      <a:rPr altLang="en-US"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forceAA="0"/>
                  <a:lstStyle/>
                  <a:p>
                    <a:pPr defTabSz="914400">
                      <a:defRPr lang="zh-CN" sz="9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94.9</a:t>
                    </a:r>
                    <a:r>
                      <a:rPr altLang="en-US"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sz="9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一般公共预算当年拨款收入2369.69万元</c:v>
                </c:pt>
                <c:pt idx="1">
                  <c:v>上年结转94.9万元</c:v>
                </c:pt>
              </c:strCache>
            </c:strRef>
          </c:cat>
          <c:val>
            <c:numRef>
              <c:f>Sheet1!$B$2:$B$3</c:f>
              <c:numCache>
                <c:formatCode>General</c:formatCode>
                <c:ptCount val="2"/>
                <c:pt idx="0">
                  <c:v>96.1</c:v>
                </c:pt>
                <c:pt idx="1">
                  <c:v>3.9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manualLayout>
          <c:xMode val="edge"/>
          <c:yMode val="edge"/>
          <c:x val="0.575666973321067"/>
          <c:y val="0.608243524295708"/>
          <c:w val="0.386384544618215"/>
          <c:h val="0.202306674229533"/>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d348988f-3141-4f0b-beda-7bcb594fe850}"/>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16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a:latin typeface="黑体" panose="02010609060101010101" charset="-122"/>
                <a:ea typeface="黑体" panose="02010609060101010101" charset="-122"/>
                <a:cs typeface="黑体" panose="02010609060101010101" charset="-122"/>
                <a:sym typeface="仿宋_GB2312" panose="02010609030101010101" pitchFamily="3" charset="-122"/>
              </a:rPr>
              <a:t>年财政拨款支出总表</a:t>
            </a:r>
            <a:endParaRPr lang="en-US" altLang="zh-CN">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pieChart>
        <c:varyColors val="1"/>
        <c:ser>
          <c:idx val="0"/>
          <c:order val="0"/>
          <c:tx>
            <c:strRef>
              <c:f>Sheet1!$B$1</c:f>
              <c:strCache>
                <c:ptCount val="1"/>
                <c:pt idx="0">
                  <c:v>2025年财政拨款支出总表</c:v>
                </c:pt>
              </c:strCache>
            </c:strRef>
          </c:tx>
          <c:spPr/>
          <c:explosion val="0"/>
          <c:dPt>
            <c:idx val="0"/>
            <c:bubble3D val="0"/>
            <c:spPr>
              <a:solidFill>
                <a:srgbClr val="F79646"/>
              </a:solidFill>
              <a:ln>
                <a:solidFill>
                  <a:schemeClr val="bg1"/>
                </a:solidFill>
              </a:ln>
              <a:effectLst/>
            </c:spPr>
          </c:dPt>
          <c:dPt>
            <c:idx val="1"/>
            <c:bubble3D val="0"/>
            <c:spPr>
              <a:solidFill>
                <a:srgbClr val="4F81BD"/>
              </a:solidFill>
              <a:ln>
                <a:solidFill>
                  <a:schemeClr val="bg1"/>
                </a:solidFill>
              </a:ln>
              <a:effectLst/>
            </c:spPr>
          </c:dPt>
          <c:dPt>
            <c:idx val="2"/>
            <c:bubble3D val="0"/>
            <c:spPr>
              <a:solidFill>
                <a:srgbClr val="9BBB59"/>
              </a:solidFill>
              <a:ln>
                <a:solidFill>
                  <a:schemeClr val="bg1"/>
                </a:solidFill>
              </a:ln>
              <a:effectLst/>
            </c:spPr>
          </c:dPt>
          <c:dLbls>
            <c:dLbl>
              <c:idx val="0"/>
              <c:layout>
                <c:manualLayout>
                  <c:x val="0.0359984842743463"/>
                  <c:y val="0"/>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180.96</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2173.48</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110.15</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社会保障和就业支出180.96万元</c:v>
                </c:pt>
                <c:pt idx="1">
                  <c:v>卫生健康支出2173.48万元</c:v>
                </c:pt>
                <c:pt idx="2">
                  <c:v>住房保障支出110.15万元</c:v>
                </c:pt>
              </c:strCache>
            </c:strRef>
          </c:cat>
          <c:val>
            <c:numRef>
              <c:f>Sheet1!$B$2:$B$4</c:f>
              <c:numCache>
                <c:formatCode>General</c:formatCode>
                <c:ptCount val="3"/>
                <c:pt idx="0">
                  <c:v>7.34</c:v>
                </c:pt>
                <c:pt idx="1">
                  <c:v>88.19</c:v>
                </c:pt>
                <c:pt idx="2">
                  <c:v>4.47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2341c8c1-f0da-452e-8606-0dae44a19671}"/>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sz="1600">
                <a:latin typeface="黑体" panose="02010609060101010101" charset="-122"/>
                <a:ea typeface="黑体" panose="02010609060101010101" charset="-122"/>
                <a:cs typeface="黑体" panose="02010609060101010101" charset="-122"/>
                <a:sym typeface="仿宋_GB2312" panose="02010609030101010101" pitchFamily="3" charset="-122"/>
              </a:rPr>
              <a:t>年一般公共预算当年拨款规模明细</a:t>
            </a:r>
            <a:endPar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pieChart>
        <c:varyColors val="1"/>
        <c:ser>
          <c:idx val="0"/>
          <c:order val="0"/>
          <c:tx>
            <c:strRef>
              <c:f>Sheet1!$B$1</c:f>
              <c:strCache>
                <c:ptCount val="1"/>
                <c:pt idx="0">
                  <c:v>2025年一般公共预算当年拨款规模明细</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795.43</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119.70</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1454.56</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人员经费795.43万元</c:v>
                </c:pt>
                <c:pt idx="1">
                  <c:v>公用经费119.70万元</c:v>
                </c:pt>
                <c:pt idx="2">
                  <c:v>项目经费1454.56万元</c:v>
                </c:pt>
              </c:strCache>
            </c:strRef>
          </c:cat>
          <c:val>
            <c:numRef>
              <c:f>Sheet1!$B$2:$B$4</c:f>
              <c:numCache>
                <c:formatCode>General</c:formatCode>
                <c:ptCount val="3"/>
                <c:pt idx="0">
                  <c:v>33.57</c:v>
                </c:pt>
                <c:pt idx="1">
                  <c:v>5.05</c:v>
                </c:pt>
                <c:pt idx="2">
                  <c:v>61.38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a94d90b6-85ec-44b3-92e8-2feb65f72836}"/>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sz="1600">
                <a:latin typeface="黑体" panose="02010609060101010101" charset="-122"/>
                <a:ea typeface="黑体" panose="02010609060101010101" charset="-122"/>
                <a:cs typeface="黑体" panose="02010609060101010101" charset="-122"/>
                <a:sym typeface="仿宋_GB2312" panose="02010609030101010101" pitchFamily="3" charset="-122"/>
              </a:rPr>
              <a:t>年一般公共预算当年拨款支出明细</a:t>
            </a:r>
            <a:endPar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pieChart>
        <c:varyColors val="1"/>
        <c:ser>
          <c:idx val="0"/>
          <c:order val="0"/>
          <c:tx>
            <c:strRef>
              <c:f>Sheet1!$B$1</c:f>
              <c:strCache>
                <c:ptCount val="1"/>
                <c:pt idx="0">
                  <c:v>2025年一般公共预算当年拨款支出明细</c:v>
                </c:pt>
              </c:strCache>
            </c:strRef>
          </c:tx>
          <c:spPr/>
          <c:explosion val="0"/>
          <c:dPt>
            <c:idx val="0"/>
            <c:bubble3D val="0"/>
            <c:spPr>
              <a:solidFill>
                <a:srgbClr val="F79646"/>
              </a:solidFill>
              <a:ln>
                <a:solidFill>
                  <a:schemeClr val="bg1"/>
                </a:solidFill>
              </a:ln>
              <a:effectLst/>
            </c:spPr>
          </c:dPt>
          <c:dPt>
            <c:idx val="1"/>
            <c:bubble3D val="0"/>
            <c:spPr>
              <a:solidFill>
                <a:srgbClr val="4F81BD"/>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6.74%</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88</a:t>
                    </a:r>
                    <a:r>
                      <a:rPr>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a:t>
                    </a: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8</a:t>
                    </a:r>
                    <a:r>
                      <a:rPr>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a:t>
                    </a: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4</a:t>
                    </a:r>
                    <a:r>
                      <a:rPr>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a:t>
                    </a: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45%</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outEnd"/>
              <c:showLegendKey val="0"/>
              <c:showVal val="1"/>
              <c:showCatName val="1"/>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社会保障和就业支出159.73万元</c:v>
                </c:pt>
                <c:pt idx="1">
                  <c:v>卫生健康支出2104.5万元</c:v>
                </c:pt>
                <c:pt idx="2">
                  <c:v>住房保障支出105.46万元</c:v>
                </c:pt>
              </c:strCache>
            </c:strRef>
          </c:cat>
          <c:val>
            <c:numRef>
              <c:f>Sheet1!$B$2:$B$4</c:f>
              <c:numCache>
                <c:formatCode>General</c:formatCode>
                <c:ptCount val="3"/>
                <c:pt idx="0">
                  <c:v>6.74</c:v>
                </c:pt>
                <c:pt idx="1">
                  <c:v>88.81</c:v>
                </c:pt>
                <c:pt idx="2">
                  <c:v>4.45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manualLayout>
          <c:xMode val="edge"/>
          <c:yMode val="edge"/>
          <c:x val="0.635899927131406"/>
          <c:y val="0.373314737331474"/>
          <c:w val="0.349526354141365"/>
          <c:h val="0.355880985588099"/>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bd788b46-a7d1-42d8-bb38-e5b3b81c139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rPr>
              <a:t>2026</a:t>
            </a:r>
            <a:r>
              <a:rPr altLang="en-US" sz="1600">
                <a:latin typeface="黑体" panose="02010609060101010101" charset="-122"/>
                <a:ea typeface="黑体" panose="02010609060101010101" charset="-122"/>
                <a:cs typeface="黑体" panose="02010609060101010101" charset="-122"/>
                <a:sym typeface="仿宋_GB2312" panose="02010609030101010101" pitchFamily="3" charset="-122"/>
              </a:rPr>
              <a:t>年一般公共预算当年拨款支出明细</a:t>
            </a:r>
            <a:endParaRPr lang="en-US" altLang="zh-CN" sz="1600">
              <a:latin typeface="黑体" panose="02010609060101010101" charset="-122"/>
              <a:ea typeface="黑体" panose="02010609060101010101" charset="-122"/>
              <a:cs typeface="黑体" panose="02010609060101010101" charset="-122"/>
              <a:sym typeface="仿宋_GB2312" panose="02010609030101010101" pitchFamily="3" charset="-122"/>
            </a:endParaRPr>
          </a:p>
        </c:rich>
      </c:tx>
      <c:layout/>
      <c:overlay val="0"/>
      <c:spPr>
        <a:noFill/>
        <a:ln>
          <a:noFill/>
        </a:ln>
        <a:effectLst/>
      </c:spPr>
    </c:title>
    <c:autoTitleDeleted val="0"/>
    <c:plotArea>
      <c:layout>
        <c:manualLayout>
          <c:layoutTarget val="inner"/>
          <c:xMode val="edge"/>
          <c:yMode val="edge"/>
          <c:x val="0.118030925344286"/>
          <c:y val="0.263612409689758"/>
          <c:w val="0.390780381734719"/>
          <c:h val="0.687394815129622"/>
        </c:manualLayout>
      </c:layout>
      <c:pieChart>
        <c:varyColors val="1"/>
        <c:ser>
          <c:idx val="0"/>
          <c:order val="0"/>
          <c:tx>
            <c:strRef>
              <c:f>Sheet1!$B$1</c:f>
              <c:strCache>
                <c:ptCount val="1"/>
                <c:pt idx="0">
                  <c:v>2025年一般公共预算当年拨款支出明细</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rgbClr val="4BACC6"/>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Lbl>
              <c:idx val="0"/>
              <c:layout>
                <c:manualLayout>
                  <c:x val="0.0126842232423291"/>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95.03</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670179860235995"/>
                  <c:y val="0.00652173913043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54.33</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137472791843281"/>
                  <c:y val="-0.10760869565217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649.94</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154656890823691"/>
                  <c:y val="0.05217391304347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1454.56</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886023187088629"/>
                  <c:y val="0.03898353628115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67.66</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130907212203846"/>
                  <c:y val="-0.060781333727526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3.56</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6"/>
              <c:layout>
                <c:manualLayout>
                  <c:x val="0.0344286059434646"/>
                  <c:y val="-0.063748406289842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34.24</a:t>
                    </a:r>
                    <a:r>
                      <a:rPr altLang="en-US">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万元</a:t>
                    </a:r>
                    <a:endParaRPr lang="en-US" alt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基本养老保险缴费支出95.03万元</c:v>
                </c:pt>
                <c:pt idx="1">
                  <c:v>职业年金缴费支出54.33万元</c:v>
                </c:pt>
                <c:pt idx="2">
                  <c:v>中医药事务事业运行支出649.94万元</c:v>
                </c:pt>
                <c:pt idx="3">
                  <c:v>其他中医药事务支出1454.56万元</c:v>
                </c:pt>
                <c:pt idx="4">
                  <c:v>住房公积金缴费支出67.66万元</c:v>
                </c:pt>
                <c:pt idx="5">
                  <c:v>提租补贴支出3.56万元</c:v>
                </c:pt>
                <c:pt idx="6">
                  <c:v>购房补贴支出34.24万元</c:v>
                </c:pt>
              </c:strCache>
            </c:strRef>
          </c:cat>
          <c:val>
            <c:numRef>
              <c:f>Sheet1!$B$2:$B$8</c:f>
              <c:numCache>
                <c:formatCode>General</c:formatCode>
                <c:ptCount val="7"/>
                <c:pt idx="0">
                  <c:v>4</c:v>
                </c:pt>
                <c:pt idx="1">
                  <c:v>2.3</c:v>
                </c:pt>
                <c:pt idx="2">
                  <c:v>27.4</c:v>
                </c:pt>
                <c:pt idx="3">
                  <c:v>61.4</c:v>
                </c:pt>
                <c:pt idx="4">
                  <c:v>2.86</c:v>
                </c:pt>
                <c:pt idx="5">
                  <c:v>0.001</c:v>
                </c:pt>
                <c:pt idx="6">
                  <c:v>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4"/>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5"/>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egendEntry>
        <c:idx val="6"/>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manualLayout>
          <c:xMode val="edge"/>
          <c:yMode val="edge"/>
          <c:x val="0.59458806474994"/>
          <c:y val="0.226519337016575"/>
          <c:w val="0.378231456873641"/>
          <c:h val="0.742668933276668"/>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gap"/>
    <c:showDLblsOverMax val="0"/>
    <c:extLst>
      <c:ext uri="{0b15fc19-7d7d-44ad-8c2d-2c3a37ce22c3}">
        <chartProps xmlns="https://web.wps.cn/et/2018/main" chartId="{dc852eb7-6274-4e65-9a41-77a5acce4e1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Pages>18</Pages>
  <Words>3505</Words>
  <Characters>3847</Characters>
  <Lines>26</Lines>
  <Paragraphs>7</Paragraphs>
  <TotalTime>146</TotalTime>
  <ScaleCrop>false</ScaleCrop>
  <LinksUpToDate>false</LinksUpToDate>
  <CharactersWithSpaces>3869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2022-04-27T02:40:00Z</dcterms:created>
  <dc:creator>Acer</dc:creator>
  <cp:lastModifiedBy>宋雪</cp:lastModifiedBy>
  <cp:lastPrinted>2026-04-30T07:05:00Z</cp:lastPrinted>
  <dcterms:modified xsi:type="dcterms:W3CDTF">2026-04-30T07:57:44Z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2EC254130B1E46D9981B53AE3946A32F_13</vt:lpwstr>
  </property>
  <property fmtid="{D5CDD505-2E9C-101B-9397-08002B2CF9AE}" pid="4" name="KSOTemplateDocerSaveRecord">
    <vt:lpwstr>eyJoZGlkIjoiZTFlMTU1ZGIzZjQzMzQ2YjFjYjEwOTA4ZGIyZDJlMjIiLCJ1c2VySWQiOiI0MDQ0MzE1MDkifQ==</vt:lpwstr>
  </property>
</Properties>
</file>